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93AA" w14:textId="5435E6DF" w:rsidR="005A615F" w:rsidRPr="00D31F3E" w:rsidRDefault="00F33569">
      <w:pPr>
        <w:rPr>
          <w:b/>
          <w:bCs/>
          <w:i/>
          <w:iCs/>
          <w:sz w:val="32"/>
          <w:szCs w:val="32"/>
          <w:u w:val="single"/>
        </w:rPr>
      </w:pPr>
      <w:r w:rsidRPr="00D31F3E">
        <w:rPr>
          <w:b/>
          <w:bCs/>
          <w:i/>
          <w:iCs/>
          <w:sz w:val="32"/>
          <w:szCs w:val="32"/>
          <w:u w:val="single"/>
        </w:rPr>
        <w:t xml:space="preserve">Die Jahresanrechnung </w:t>
      </w:r>
      <w:r w:rsidR="00537ACE">
        <w:rPr>
          <w:b/>
          <w:bCs/>
          <w:i/>
          <w:iCs/>
          <w:sz w:val="32"/>
          <w:szCs w:val="32"/>
          <w:u w:val="single"/>
        </w:rPr>
        <w:t xml:space="preserve">2022 </w:t>
      </w:r>
      <w:r w:rsidRPr="00D31F3E">
        <w:rPr>
          <w:b/>
          <w:bCs/>
          <w:i/>
          <w:iCs/>
          <w:sz w:val="32"/>
          <w:szCs w:val="32"/>
          <w:u w:val="single"/>
        </w:rPr>
        <w:t>bei Strom und Gas verstehen</w:t>
      </w:r>
    </w:p>
    <w:p w14:paraId="448B5029" w14:textId="472F81FD" w:rsidR="00473D0A" w:rsidRDefault="00473D0A">
      <w:r w:rsidRPr="00D31F3E">
        <w:rPr>
          <w:b/>
          <w:bCs/>
          <w:color w:val="C00000"/>
          <w:sz w:val="24"/>
          <w:szCs w:val="24"/>
          <w:u w:val="single"/>
        </w:rPr>
        <w:t>Allgemein</w:t>
      </w:r>
      <w:r>
        <w:br/>
      </w:r>
      <w:r w:rsidR="00425BA6">
        <w:t xml:space="preserve">In Ihrem Vertrag steht </w:t>
      </w:r>
      <w:r w:rsidR="00D31F3E">
        <w:t>:</w:t>
      </w:r>
      <w:r w:rsidR="00D31F3E">
        <w:br/>
        <w:t xml:space="preserve"> - </w:t>
      </w:r>
      <w:r w:rsidR="00425BA6">
        <w:t>der Arbeitspreis (</w:t>
      </w:r>
      <w:r>
        <w:t>c</w:t>
      </w:r>
      <w:r w:rsidR="00425BA6">
        <w:t>t./kWh</w:t>
      </w:r>
      <w:r>
        <w:t>)</w:t>
      </w:r>
      <w:r w:rsidR="00425BA6">
        <w:t xml:space="preserve"> und der Grundpreis </w:t>
      </w:r>
      <w:r>
        <w:t xml:space="preserve">(Euro/Mon.) und </w:t>
      </w:r>
      <w:r w:rsidR="00D31F3E">
        <w:br/>
        <w:t xml:space="preserve"> - </w:t>
      </w:r>
      <w:r>
        <w:t>die Abschläge Anzahl (x/J.) und Höhe (Euro/Mon.) Alles ist in Bruttobeträgen angegeben.</w:t>
      </w:r>
      <w:r w:rsidR="00D31F3E">
        <w:br/>
        <w:t xml:space="preserve"> - </w:t>
      </w:r>
      <w:r>
        <w:t xml:space="preserve">Sie haben meistens eine Preisgarantie, die der </w:t>
      </w:r>
      <w:r w:rsidR="00D31F3E">
        <w:t>V</w:t>
      </w:r>
      <w:r>
        <w:t>ertragslaufzeit entspricht</w:t>
      </w:r>
      <w:r w:rsidR="0059646F">
        <w:t>. Sie gilt nicht für</w:t>
      </w:r>
      <w:r w:rsidR="00D31F3E">
        <w:br/>
        <w:t xml:space="preserve">   </w:t>
      </w:r>
      <w:r w:rsidR="0059646F">
        <w:t xml:space="preserve"> Bestandteile, die nicht vom Versorger selbst beeinflusst werden können</w:t>
      </w:r>
      <w:r w:rsidR="0080346E">
        <w:t xml:space="preserve"> (</w:t>
      </w:r>
      <w:r w:rsidR="0059646F">
        <w:t xml:space="preserve">Umlagen, Steuern </w:t>
      </w:r>
      <w:r w:rsidR="00D31F3E">
        <w:t>etc</w:t>
      </w:r>
      <w:r w:rsidR="0080346E">
        <w:t>)</w:t>
      </w:r>
      <w:r w:rsidR="0059646F">
        <w:t xml:space="preserve">. </w:t>
      </w:r>
    </w:p>
    <w:p w14:paraId="1E0D07F2" w14:textId="23D1A039" w:rsidR="00081F70" w:rsidRDefault="0059646F">
      <w:r w:rsidRPr="004E5C62">
        <w:rPr>
          <w:u w:val="single"/>
        </w:rPr>
        <w:t>Ihr Augenmerkt ist deshalb</w:t>
      </w:r>
      <w:r w:rsidR="00081F70" w:rsidRPr="004E5C62">
        <w:rPr>
          <w:u w:val="single"/>
        </w:rPr>
        <w:t xml:space="preserve"> auf folgende Punkte zu richten:</w:t>
      </w:r>
      <w:r w:rsidR="00081F70" w:rsidRPr="004E5C62">
        <w:rPr>
          <w:u w:val="single"/>
        </w:rPr>
        <w:br/>
      </w:r>
      <w:r w:rsidR="00081F70">
        <w:t xml:space="preserve"> - stimmt die Verbrauchsmenge (Zählerstand aktuelle Abrechnung – Zählerstand letzte Abrechnung)</w:t>
      </w:r>
      <w:r w:rsidR="00081F70">
        <w:br/>
        <w:t xml:space="preserve"> - </w:t>
      </w:r>
      <w:r w:rsidR="004E5C62">
        <w:t xml:space="preserve">ist die </w:t>
      </w:r>
      <w:r w:rsidR="00081F70">
        <w:t xml:space="preserve">Anzahl </w:t>
      </w:r>
      <w:r w:rsidR="004E5C62">
        <w:t xml:space="preserve">und Höhe </w:t>
      </w:r>
      <w:r w:rsidR="00081F70">
        <w:t>der Abschläge</w:t>
      </w:r>
      <w:r w:rsidR="004E5C62">
        <w:t xml:space="preserve"> richtig einberechnet</w:t>
      </w:r>
      <w:r w:rsidR="004E5C62">
        <w:br/>
      </w:r>
      <w:r w:rsidR="00081F70">
        <w:t xml:space="preserve"> - gab es Preiserhöhungen</w:t>
      </w:r>
      <w:r w:rsidR="004E5C62">
        <w:t>, wenn ja wann, wofür</w:t>
      </w:r>
      <w:r w:rsidR="00C37D6E">
        <w:t>,</w:t>
      </w:r>
      <w:r w:rsidR="004E5C62">
        <w:t xml:space="preserve"> Zählerstand richtig berücksichtigt.</w:t>
      </w:r>
      <w:r w:rsidR="004E5C62">
        <w:br/>
        <w:t xml:space="preserve"> - </w:t>
      </w:r>
      <w:r w:rsidR="0080346E">
        <w:t>w</w:t>
      </w:r>
      <w:r w:rsidR="004E5C62">
        <w:t>urden die Boni berücksichtigt</w:t>
      </w:r>
    </w:p>
    <w:p w14:paraId="6E03CFDC" w14:textId="4092A528" w:rsidR="00C37D6E" w:rsidRDefault="00C37D6E">
      <w:r w:rsidRPr="0033529B">
        <w:rPr>
          <w:b/>
          <w:bCs/>
          <w:color w:val="C00000"/>
          <w:sz w:val="24"/>
          <w:szCs w:val="24"/>
          <w:u w:val="single"/>
        </w:rPr>
        <w:t>Abrechnungsbestandteile</w:t>
      </w:r>
      <w:r w:rsidRPr="0033529B">
        <w:rPr>
          <w:color w:val="C00000"/>
        </w:rPr>
        <w:t xml:space="preserve"> </w:t>
      </w:r>
      <w:r w:rsidR="0033529B" w:rsidRPr="0033529B">
        <w:rPr>
          <w:color w:val="C00000"/>
        </w:rPr>
        <w:br/>
      </w:r>
      <w:r>
        <w:t xml:space="preserve">sind </w:t>
      </w:r>
      <w:r w:rsidR="0080346E">
        <w:t xml:space="preserve">mit </w:t>
      </w:r>
      <w:r>
        <w:t>Nettopreise</w:t>
      </w:r>
      <w:r w:rsidR="0080346E">
        <w:t>n</w:t>
      </w:r>
      <w:r>
        <w:t xml:space="preserve"> </w:t>
      </w:r>
      <w:r w:rsidR="0080346E">
        <w:t xml:space="preserve">aufzulisten </w:t>
      </w:r>
      <w:r>
        <w:t>u</w:t>
      </w:r>
      <w:r w:rsidR="0080346E">
        <w:t>.</w:t>
      </w:r>
      <w:r>
        <w:t xml:space="preserve"> die Höhe der MWSt</w:t>
      </w:r>
      <w:r w:rsidR="0080346E">
        <w:t>.</w:t>
      </w:r>
      <w:r>
        <w:t xml:space="preserve"> </w:t>
      </w:r>
      <w:r w:rsidR="0080346E">
        <w:t xml:space="preserve">ist </w:t>
      </w:r>
      <w:r>
        <w:t>anzugeben.</w:t>
      </w:r>
    </w:p>
    <w:p w14:paraId="7B23D758" w14:textId="67C58618" w:rsidR="00C37D6E" w:rsidRPr="0033529B" w:rsidRDefault="00DA7AC5">
      <w:pPr>
        <w:rPr>
          <w:b/>
          <w:bCs/>
          <w:i/>
          <w:iCs/>
          <w:sz w:val="24"/>
          <w:szCs w:val="24"/>
          <w:u w:val="single"/>
        </w:rPr>
      </w:pPr>
      <w:r w:rsidRPr="0033529B">
        <w:rPr>
          <w:b/>
          <w:bCs/>
          <w:i/>
          <w:iCs/>
          <w:sz w:val="24"/>
          <w:szCs w:val="24"/>
          <w:u w:val="single"/>
        </w:rPr>
        <w:t>Bei Strom sind das:</w:t>
      </w:r>
    </w:p>
    <w:p w14:paraId="19816815" w14:textId="77777777" w:rsidR="00FD6763" w:rsidRDefault="00DA7AC5">
      <w:pPr>
        <w:rPr>
          <w:rFonts w:cstheme="minorHAnsi"/>
          <w:color w:val="806000" w:themeColor="accent4" w:themeShade="80"/>
        </w:rPr>
      </w:pPr>
      <w:r w:rsidRPr="00FB727F">
        <w:rPr>
          <w:rFonts w:cstheme="minorHAnsi"/>
          <w:b/>
          <w:bCs/>
          <w:color w:val="806000" w:themeColor="accent4" w:themeShade="80"/>
          <w:u w:val="single"/>
        </w:rPr>
        <w:t>Netznutzungsentgelt</w:t>
      </w:r>
      <w:r w:rsidRPr="00FB727F">
        <w:rPr>
          <w:rFonts w:cstheme="minorHAnsi"/>
          <w:b/>
          <w:bCs/>
          <w:color w:val="806000" w:themeColor="accent4" w:themeShade="80"/>
        </w:rPr>
        <w:t xml:space="preserve"> </w:t>
      </w:r>
      <w:r w:rsidRPr="00FB727F">
        <w:rPr>
          <w:rFonts w:cstheme="minorHAnsi"/>
          <w:b/>
          <w:bCs/>
          <w:color w:val="806000" w:themeColor="accent4" w:themeShade="80"/>
        </w:rPr>
        <w:tab/>
      </w:r>
      <w:r w:rsidRPr="00FB727F">
        <w:rPr>
          <w:rFonts w:cstheme="minorHAnsi"/>
          <w:b/>
          <w:bCs/>
          <w:color w:val="806000" w:themeColor="accent4" w:themeShade="80"/>
        </w:rPr>
        <w:tab/>
        <w:t xml:space="preserve">(z.B. EWE)       </w:t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</w:rPr>
        <w:t xml:space="preserve">  </w:t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</w:rPr>
        <w:tab/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</w:rPr>
        <w:tab/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</w:rPr>
        <w:tab/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</w:rPr>
        <w:tab/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  <w:u w:val="single"/>
        </w:rPr>
        <w:t xml:space="preserve">96,00 €/J   + </w:t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  <w:u w:val="single"/>
        </w:rPr>
        <w:tab/>
        <w:t>4,18 ct/kWh</w:t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</w:rPr>
        <w:t xml:space="preserve"> </w:t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</w:rPr>
        <w:br/>
      </w:r>
      <w:r w:rsidRPr="00FB727F">
        <w:rPr>
          <w:rFonts w:cstheme="minorHAnsi"/>
          <w:color w:val="806000" w:themeColor="accent4" w:themeShade="80"/>
        </w:rPr>
        <w:t>Für Kunden ohne registrierende Lastgangmessung. </w:t>
      </w:r>
    </w:p>
    <w:p w14:paraId="36D6219C" w14:textId="77777777" w:rsidR="00FD6763" w:rsidRDefault="00DA7AC5">
      <w:pPr>
        <w:rPr>
          <w:rFonts w:cstheme="minorHAnsi"/>
          <w:color w:val="806000" w:themeColor="accent4" w:themeShade="80"/>
        </w:rPr>
      </w:pP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  <w:u w:val="single"/>
        </w:rPr>
        <w:t xml:space="preserve">Messstellenbetrieb </w:t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  <w:u w:val="single"/>
        </w:rPr>
        <w:tab/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  <w:u w:val="single"/>
        </w:rPr>
        <w:tab/>
        <w:t>(z.B. EWE)</w:t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</w:rPr>
        <w:tab/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</w:rPr>
        <w:tab/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</w:rPr>
        <w:tab/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</w:rPr>
        <w:tab/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  <w:u w:val="single"/>
        </w:rPr>
        <w:t>6,53 €/J</w:t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</w:rPr>
        <w:br/>
      </w:r>
      <w:r w:rsidRPr="00FB727F">
        <w:rPr>
          <w:rFonts w:cstheme="minorHAnsi"/>
          <w:color w:val="806000" w:themeColor="accent4" w:themeShade="80"/>
        </w:rPr>
        <w:t xml:space="preserve">Entgelte für Messstellenbetrieb und Messung </w:t>
      </w:r>
      <w:r w:rsidR="00A9609D" w:rsidRPr="00FB727F">
        <w:rPr>
          <w:rFonts w:cstheme="minorHAnsi"/>
          <w:color w:val="806000" w:themeColor="accent4" w:themeShade="80"/>
        </w:rPr>
        <w:t>–</w:t>
      </w:r>
      <w:r w:rsidRPr="00FB727F">
        <w:rPr>
          <w:rFonts w:cstheme="minorHAnsi"/>
          <w:color w:val="806000" w:themeColor="accent4" w:themeShade="80"/>
        </w:rPr>
        <w:t xml:space="preserve"> Eintarifzähl</w:t>
      </w:r>
      <w:r w:rsidR="00A9609D" w:rsidRPr="00FB727F">
        <w:rPr>
          <w:rFonts w:cstheme="minorHAnsi"/>
          <w:color w:val="806000" w:themeColor="accent4" w:themeShade="80"/>
        </w:rPr>
        <w:t>er.</w:t>
      </w:r>
      <w:bookmarkStart w:id="0" w:name="_Hlk112589904"/>
    </w:p>
    <w:p w14:paraId="4FC5243A" w14:textId="77777777" w:rsidR="00FD6763" w:rsidRDefault="001C1B6C">
      <w:pPr>
        <w:rPr>
          <w:rFonts w:cstheme="minorHAnsi"/>
          <w:color w:val="806000" w:themeColor="accent4" w:themeShade="80"/>
        </w:rPr>
      </w:pPr>
      <w:r w:rsidRPr="00FB727F">
        <w:rPr>
          <w:rFonts w:cstheme="minorHAnsi"/>
          <w:b/>
          <w:bCs/>
          <w:color w:val="806000" w:themeColor="accent4" w:themeShade="80"/>
          <w:u w:val="single"/>
        </w:rPr>
        <w:t>Konzessionsabgabe</w:t>
      </w:r>
      <w:r w:rsidRPr="00FB727F">
        <w:rPr>
          <w:rFonts w:cstheme="minorHAnsi"/>
          <w:b/>
          <w:bCs/>
          <w:color w:val="806000" w:themeColor="accent4" w:themeShade="80"/>
        </w:rPr>
        <w:t xml:space="preserve"> </w:t>
      </w:r>
      <w:r w:rsidRPr="00FB727F">
        <w:rPr>
          <w:rFonts w:cstheme="minorHAnsi"/>
          <w:b/>
          <w:bCs/>
          <w:color w:val="806000" w:themeColor="accent4" w:themeShade="80"/>
        </w:rPr>
        <w:tab/>
      </w:r>
      <w:r w:rsidRPr="00FB727F">
        <w:rPr>
          <w:rFonts w:cstheme="minorHAnsi"/>
          <w:b/>
          <w:bCs/>
          <w:color w:val="806000" w:themeColor="accent4" w:themeShade="80"/>
        </w:rPr>
        <w:tab/>
        <w:t xml:space="preserve">(z.B. bei Stadt &lt; 25.000 Einw.)    </w:t>
      </w:r>
      <w:r w:rsidRPr="00FB727F">
        <w:rPr>
          <w:rFonts w:cstheme="minorHAnsi"/>
          <w:b/>
          <w:bCs/>
          <w:color w:val="806000" w:themeColor="accent4" w:themeShade="80"/>
        </w:rPr>
        <w:tab/>
      </w:r>
      <w:r w:rsidRPr="00FB727F">
        <w:rPr>
          <w:rFonts w:eastAsiaTheme="minorEastAsia" w:cstheme="minorHAnsi"/>
          <w:b/>
          <w:bCs/>
          <w:color w:val="806000" w:themeColor="accent4" w:themeShade="80"/>
          <w:kern w:val="24"/>
          <w:u w:val="single"/>
        </w:rPr>
        <w:t>1,32 ct/kWh</w:t>
      </w:r>
      <w:r w:rsidRPr="00FB727F">
        <w:rPr>
          <w:rFonts w:cstheme="minorHAnsi"/>
          <w:b/>
          <w:bCs/>
          <w:color w:val="806000" w:themeColor="accent4" w:themeShade="80"/>
        </w:rPr>
        <w:br/>
      </w:r>
      <w:r w:rsidRPr="00FB727F">
        <w:rPr>
          <w:rFonts w:cstheme="minorHAnsi"/>
          <w:color w:val="806000" w:themeColor="accent4" w:themeShade="80"/>
        </w:rPr>
        <w:t>Konzessionsabgaben für die Nutzung kommunaler Wege.</w:t>
      </w:r>
      <w:bookmarkStart w:id="1" w:name="_Hlk83833358"/>
      <w:bookmarkEnd w:id="0"/>
    </w:p>
    <w:p w14:paraId="75487643" w14:textId="77777777" w:rsidR="00FD6763" w:rsidRDefault="001C1B6C">
      <w:pPr>
        <w:rPr>
          <w:rFonts w:cstheme="minorHAnsi"/>
          <w:color w:val="0070C0"/>
        </w:rPr>
      </w:pPr>
      <w:r w:rsidRPr="00ED098A">
        <w:rPr>
          <w:rFonts w:cstheme="minorHAnsi"/>
          <w:b/>
          <w:bCs/>
          <w:color w:val="0070C0"/>
          <w:u w:val="single"/>
        </w:rPr>
        <w:t>Die EEG-Umlage</w:t>
      </w:r>
      <w:r w:rsidRPr="00ED098A">
        <w:rPr>
          <w:rFonts w:cstheme="minorHAnsi"/>
          <w:color w:val="0070C0"/>
        </w:rPr>
        <w:t xml:space="preserve"> </w:t>
      </w:r>
      <w:r w:rsidRPr="00ED098A">
        <w:rPr>
          <w:rFonts w:cstheme="minorHAnsi"/>
          <w:b/>
          <w:bCs/>
          <w:color w:val="0070C0"/>
        </w:rPr>
        <w:t xml:space="preserve">              </w:t>
      </w:r>
      <w:r>
        <w:rPr>
          <w:rFonts w:cstheme="minorHAnsi"/>
          <w:b/>
          <w:bCs/>
          <w:color w:val="0070C0"/>
        </w:rPr>
        <w:t xml:space="preserve">  </w:t>
      </w:r>
      <w:r>
        <w:rPr>
          <w:rFonts w:cstheme="minorHAnsi"/>
          <w:b/>
          <w:bCs/>
          <w:color w:val="0070C0"/>
        </w:rPr>
        <w:tab/>
      </w:r>
      <w:r>
        <w:rPr>
          <w:rFonts w:eastAsiaTheme="minorEastAsia" w:cstheme="minorHAnsi"/>
          <w:b/>
          <w:bCs/>
          <w:color w:val="0070C0"/>
          <w:kern w:val="24"/>
          <w:u w:val="single"/>
        </w:rPr>
        <w:t>3,720 ct/kWh  ab 01.Juli subventioniert auf 0,000</w:t>
      </w:r>
      <w:r w:rsidRPr="00ED098A">
        <w:rPr>
          <w:rFonts w:eastAsiaTheme="minorEastAsia" w:cstheme="minorHAnsi"/>
          <w:b/>
          <w:bCs/>
          <w:color w:val="0070C0"/>
          <w:kern w:val="24"/>
          <w:u w:val="single"/>
        </w:rPr>
        <w:t xml:space="preserve"> ct/kWh</w:t>
      </w:r>
      <w:r w:rsidRPr="00ED098A">
        <w:rPr>
          <w:rFonts w:eastAsiaTheme="minorEastAsia" w:cstheme="minorHAnsi"/>
          <w:b/>
          <w:bCs/>
          <w:color w:val="0070C0"/>
          <w:kern w:val="24"/>
        </w:rPr>
        <w:t xml:space="preserve">   </w:t>
      </w:r>
      <w:r w:rsidRPr="00ED098A">
        <w:rPr>
          <w:rFonts w:cstheme="minorHAnsi"/>
          <w:color w:val="0070C0"/>
        </w:rPr>
        <w:br/>
        <w:t xml:space="preserve">Sie finanziert den Ausbau der erneuerbaren Energien. </w:t>
      </w:r>
    </w:p>
    <w:p w14:paraId="380FE92A" w14:textId="77777777" w:rsidR="00FD6763" w:rsidRDefault="001C1B6C">
      <w:pPr>
        <w:rPr>
          <w:rFonts w:cstheme="minorHAnsi"/>
          <w:color w:val="0070C0"/>
        </w:rPr>
      </w:pPr>
      <w:r>
        <w:rPr>
          <w:rFonts w:cstheme="minorHAnsi"/>
          <w:b/>
          <w:bCs/>
          <w:color w:val="0070C0"/>
          <w:u w:val="single"/>
        </w:rPr>
        <w:t xml:space="preserve">§ 26/26a </w:t>
      </w:r>
      <w:r w:rsidRPr="00ED098A">
        <w:rPr>
          <w:rFonts w:cstheme="minorHAnsi"/>
          <w:b/>
          <w:bCs/>
          <w:color w:val="0070C0"/>
          <w:u w:val="single"/>
        </w:rPr>
        <w:t>KWK</w:t>
      </w:r>
      <w:r>
        <w:rPr>
          <w:rFonts w:cstheme="minorHAnsi"/>
          <w:b/>
          <w:bCs/>
          <w:color w:val="0070C0"/>
          <w:u w:val="single"/>
        </w:rPr>
        <w:t>G</w:t>
      </w:r>
      <w:r w:rsidRPr="00ED098A">
        <w:rPr>
          <w:rFonts w:cstheme="minorHAnsi"/>
          <w:b/>
          <w:bCs/>
          <w:color w:val="0070C0"/>
          <w:u w:val="single"/>
        </w:rPr>
        <w:t>-</w:t>
      </w:r>
      <w:r>
        <w:rPr>
          <w:rFonts w:cstheme="minorHAnsi"/>
          <w:b/>
          <w:bCs/>
          <w:color w:val="0070C0"/>
          <w:u w:val="single"/>
        </w:rPr>
        <w:t>Umlage</w:t>
      </w:r>
      <w:r w:rsidRPr="00ED098A">
        <w:rPr>
          <w:rFonts w:cstheme="minorHAnsi"/>
          <w:b/>
          <w:bCs/>
          <w:color w:val="0070C0"/>
        </w:rPr>
        <w:t xml:space="preserve">                                          </w:t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eastAsiaTheme="minorEastAsia" w:cstheme="minorHAnsi"/>
          <w:b/>
          <w:bCs/>
          <w:color w:val="0070C0"/>
          <w:kern w:val="24"/>
          <w:u w:val="single"/>
        </w:rPr>
        <w:t>0,</w:t>
      </w:r>
      <w:r>
        <w:rPr>
          <w:rFonts w:eastAsiaTheme="minorEastAsia" w:cstheme="minorHAnsi"/>
          <w:b/>
          <w:bCs/>
          <w:color w:val="0070C0"/>
          <w:kern w:val="24"/>
          <w:u w:val="single"/>
        </w:rPr>
        <w:t>378</w:t>
      </w:r>
      <w:r w:rsidRPr="00ED098A">
        <w:rPr>
          <w:rFonts w:eastAsiaTheme="minorEastAsia" w:cstheme="minorHAnsi"/>
          <w:b/>
          <w:bCs/>
          <w:color w:val="0070C0"/>
          <w:kern w:val="24"/>
          <w:u w:val="single"/>
        </w:rPr>
        <w:t xml:space="preserve"> ct/kWh</w:t>
      </w:r>
      <w:r w:rsidRPr="00ED098A">
        <w:rPr>
          <w:rFonts w:eastAsiaTheme="minorEastAsia" w:cstheme="minorHAnsi"/>
          <w:b/>
          <w:bCs/>
          <w:color w:val="0070C0"/>
          <w:kern w:val="24"/>
        </w:rPr>
        <w:t xml:space="preserve"> </w:t>
      </w:r>
      <w:r w:rsidRPr="00ED098A">
        <w:rPr>
          <w:rFonts w:cstheme="minorHAnsi"/>
          <w:b/>
          <w:bCs/>
          <w:color w:val="0070C0"/>
        </w:rPr>
        <w:br/>
      </w:r>
      <w:r w:rsidRPr="00ED098A">
        <w:rPr>
          <w:rFonts w:cstheme="minorHAnsi"/>
          <w:color w:val="0070C0"/>
        </w:rPr>
        <w:t xml:space="preserve">KWK-Anlagenbetreiber haben entspr. dem Kraft-Wärme-Kopplungsgesetz (KWK-Gesetz) einen Anspruch auf Zahlung bestimmter Zuschläge für erzeugten KWK-Strom. </w:t>
      </w:r>
    </w:p>
    <w:p w14:paraId="76007549" w14:textId="77777777" w:rsidR="00FD6763" w:rsidRDefault="001C1B6C">
      <w:pPr>
        <w:rPr>
          <w:rFonts w:cstheme="minorHAnsi"/>
          <w:color w:val="0070C0"/>
        </w:rPr>
      </w:pPr>
      <w:r w:rsidRPr="00ED098A">
        <w:rPr>
          <w:rFonts w:cstheme="minorHAnsi"/>
          <w:b/>
          <w:bCs/>
          <w:color w:val="0070C0"/>
          <w:u w:val="single"/>
        </w:rPr>
        <w:t>§ 19 Abs.2 StromNEV-Umlage</w:t>
      </w:r>
      <w:r w:rsidRPr="00ED098A">
        <w:rPr>
          <w:rFonts w:cstheme="minorHAnsi"/>
          <w:b/>
          <w:bCs/>
          <w:color w:val="0070C0"/>
        </w:rPr>
        <w:t xml:space="preserve"> </w:t>
      </w:r>
      <w:bookmarkStart w:id="2" w:name="_Hlk25422280"/>
      <w:r w:rsidRPr="00ED098A">
        <w:rPr>
          <w:rFonts w:cstheme="minorHAnsi"/>
          <w:b/>
          <w:bCs/>
          <w:color w:val="0070C0"/>
        </w:rPr>
        <w:t xml:space="preserve">               </w:t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eastAsiaTheme="minorEastAsia" w:cstheme="minorHAnsi"/>
          <w:b/>
          <w:bCs/>
          <w:color w:val="0070C0"/>
          <w:kern w:val="24"/>
          <w:u w:val="single"/>
        </w:rPr>
        <w:t>0,43</w:t>
      </w:r>
      <w:r>
        <w:rPr>
          <w:rFonts w:eastAsiaTheme="minorEastAsia" w:cstheme="minorHAnsi"/>
          <w:b/>
          <w:bCs/>
          <w:color w:val="0070C0"/>
          <w:kern w:val="24"/>
          <w:u w:val="single"/>
        </w:rPr>
        <w:t>7</w:t>
      </w:r>
      <w:r w:rsidRPr="00ED098A">
        <w:rPr>
          <w:rFonts w:eastAsiaTheme="minorEastAsia" w:cstheme="minorHAnsi"/>
          <w:b/>
          <w:bCs/>
          <w:color w:val="0070C0"/>
          <w:kern w:val="24"/>
          <w:u w:val="single"/>
        </w:rPr>
        <w:t xml:space="preserve"> ct/kWh</w:t>
      </w:r>
      <w:bookmarkEnd w:id="2"/>
      <w:r w:rsidRPr="00ED098A">
        <w:rPr>
          <w:rFonts w:eastAsiaTheme="minorEastAsia" w:cstheme="minorHAnsi"/>
          <w:color w:val="0070C0"/>
          <w:kern w:val="24"/>
        </w:rPr>
        <w:br/>
        <w:t>Unternehmen, die besonders viel Strom verbrauchen, müssen Netznutzungsentgelte nicht, oder nicht voll zahlen.</w:t>
      </w:r>
      <w:r w:rsidRPr="00ED098A">
        <w:rPr>
          <w:rFonts w:cstheme="minorHAnsi"/>
          <w:color w:val="0070C0"/>
        </w:rPr>
        <w:t xml:space="preserve"> </w:t>
      </w:r>
      <w:r w:rsidR="00501B58">
        <w:rPr>
          <w:rFonts w:cstheme="minorHAnsi"/>
          <w:color w:val="0070C0"/>
        </w:rPr>
        <w:t xml:space="preserve">Kompensationskosten </w:t>
      </w:r>
      <w:r w:rsidRPr="00ED098A">
        <w:rPr>
          <w:rFonts w:cstheme="minorHAnsi"/>
          <w:color w:val="0070C0"/>
        </w:rPr>
        <w:t>werden anteilig auf alle Letztverbraucher umgelegt.</w:t>
      </w:r>
      <w:bookmarkStart w:id="3" w:name="_Hlk25426516"/>
    </w:p>
    <w:p w14:paraId="452323BA" w14:textId="77777777" w:rsidR="00FD6763" w:rsidRDefault="001C1B6C">
      <w:pPr>
        <w:rPr>
          <w:rFonts w:cstheme="minorHAnsi"/>
          <w:color w:val="0070C0"/>
        </w:rPr>
      </w:pPr>
      <w:r w:rsidRPr="00ED098A">
        <w:rPr>
          <w:rFonts w:cstheme="minorHAnsi"/>
          <w:b/>
          <w:bCs/>
          <w:color w:val="0070C0"/>
          <w:u w:val="single"/>
        </w:rPr>
        <w:t>Offshore-Umlage nach § 17f EnWG</w:t>
      </w:r>
      <w:r w:rsidRPr="00ED098A">
        <w:rPr>
          <w:rFonts w:cstheme="minorHAnsi"/>
          <w:b/>
          <w:bCs/>
          <w:color w:val="0070C0"/>
        </w:rPr>
        <w:t xml:space="preserve">      </w:t>
      </w:r>
      <w:bookmarkEnd w:id="3"/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eastAsiaTheme="minorEastAsia" w:cstheme="minorHAnsi"/>
          <w:b/>
          <w:bCs/>
          <w:color w:val="0070C0"/>
          <w:kern w:val="24"/>
          <w:u w:val="single"/>
        </w:rPr>
        <w:t>0,</w:t>
      </w:r>
      <w:r>
        <w:rPr>
          <w:rFonts w:eastAsiaTheme="minorEastAsia" w:cstheme="minorHAnsi"/>
          <w:b/>
          <w:bCs/>
          <w:color w:val="0070C0"/>
          <w:kern w:val="24"/>
          <w:u w:val="single"/>
        </w:rPr>
        <w:t>419</w:t>
      </w:r>
      <w:r w:rsidRPr="00ED098A">
        <w:rPr>
          <w:rFonts w:eastAsiaTheme="minorEastAsia" w:cstheme="minorHAnsi"/>
          <w:b/>
          <w:bCs/>
          <w:color w:val="0070C0"/>
          <w:kern w:val="24"/>
          <w:u w:val="single"/>
        </w:rPr>
        <w:t xml:space="preserve"> ct/kWh  </w:t>
      </w:r>
      <w:r w:rsidRPr="00ED098A">
        <w:rPr>
          <w:rFonts w:cstheme="minorHAnsi"/>
          <w:b/>
          <w:bCs/>
          <w:color w:val="0070C0"/>
        </w:rPr>
        <w:br/>
      </w:r>
      <w:r w:rsidRPr="00ED098A">
        <w:rPr>
          <w:rFonts w:cstheme="minorHAnsi"/>
          <w:color w:val="0070C0"/>
        </w:rPr>
        <w:t>Kosten für geleistete Entschädigungszahlungen bei Verzögerungen oder Störung der Netzanbindung von Offshore-Anlagen</w:t>
      </w:r>
      <w:r w:rsidR="00501B58">
        <w:rPr>
          <w:rFonts w:cstheme="minorHAnsi"/>
          <w:color w:val="0070C0"/>
        </w:rPr>
        <w:t>.</w:t>
      </w:r>
      <w:r w:rsidRPr="00ED098A">
        <w:rPr>
          <w:rFonts w:cstheme="minorHAnsi"/>
          <w:color w:val="0070C0"/>
        </w:rPr>
        <w:t xml:space="preserve"> </w:t>
      </w:r>
    </w:p>
    <w:p w14:paraId="0A9E569B" w14:textId="77777777" w:rsidR="00FD6763" w:rsidRDefault="001C1B6C">
      <w:pPr>
        <w:rPr>
          <w:rFonts w:cstheme="minorHAnsi"/>
          <w:color w:val="0070C0"/>
        </w:rPr>
      </w:pPr>
      <w:r w:rsidRPr="00ED098A">
        <w:rPr>
          <w:rFonts w:cstheme="minorHAnsi"/>
          <w:b/>
          <w:bCs/>
          <w:color w:val="0070C0"/>
          <w:u w:val="single"/>
        </w:rPr>
        <w:t>§ 18 AbLaV-Umlage</w:t>
      </w:r>
      <w:r w:rsidRPr="00ED098A">
        <w:rPr>
          <w:rFonts w:cstheme="minorHAnsi"/>
          <w:b/>
          <w:bCs/>
          <w:color w:val="0070C0"/>
        </w:rPr>
        <w:t xml:space="preserve">                                  </w:t>
      </w:r>
      <w:bookmarkEnd w:id="1"/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cstheme="minorHAnsi"/>
          <w:b/>
          <w:bCs/>
          <w:color w:val="0070C0"/>
        </w:rPr>
        <w:tab/>
      </w:r>
      <w:r w:rsidRPr="00ED098A">
        <w:rPr>
          <w:rFonts w:eastAsiaTheme="minorEastAsia" w:cstheme="minorHAnsi"/>
          <w:b/>
          <w:bCs/>
          <w:color w:val="0070C0"/>
          <w:kern w:val="24"/>
          <w:u w:val="single"/>
        </w:rPr>
        <w:t>0,00</w:t>
      </w:r>
      <w:r>
        <w:rPr>
          <w:rFonts w:eastAsiaTheme="minorEastAsia" w:cstheme="minorHAnsi"/>
          <w:b/>
          <w:bCs/>
          <w:color w:val="0070C0"/>
          <w:kern w:val="24"/>
          <w:u w:val="single"/>
        </w:rPr>
        <w:t>3</w:t>
      </w:r>
      <w:r w:rsidRPr="00ED098A">
        <w:rPr>
          <w:rFonts w:eastAsiaTheme="minorEastAsia" w:cstheme="minorHAnsi"/>
          <w:b/>
          <w:bCs/>
          <w:color w:val="0070C0"/>
          <w:kern w:val="24"/>
          <w:u w:val="single"/>
        </w:rPr>
        <w:t xml:space="preserve"> ct/kWh</w:t>
      </w:r>
      <w:r w:rsidRPr="00ED098A">
        <w:rPr>
          <w:rFonts w:cstheme="minorHAnsi"/>
          <w:b/>
          <w:bCs/>
          <w:color w:val="0070C0"/>
        </w:rPr>
        <w:br/>
      </w:r>
      <w:r w:rsidRPr="00ED098A">
        <w:rPr>
          <w:rFonts w:cstheme="minorHAnsi"/>
          <w:color w:val="0070C0"/>
        </w:rPr>
        <w:t>Die Umlage dient zur Deckung von Kosten abschaltbarer Lasten zur Aufrechterhaltung der Netz- und Systemsicherheit. </w:t>
      </w:r>
    </w:p>
    <w:p w14:paraId="652B7921" w14:textId="77777777" w:rsidR="00FD6763" w:rsidRDefault="00501B58">
      <w:pPr>
        <w:rPr>
          <w:rFonts w:cstheme="minorHAnsi"/>
          <w:color w:val="C00000"/>
        </w:rPr>
      </w:pPr>
      <w:r w:rsidRPr="00FB727F">
        <w:rPr>
          <w:rFonts w:cstheme="minorHAnsi"/>
          <w:b/>
          <w:bCs/>
          <w:color w:val="C00000"/>
          <w:u w:val="single"/>
        </w:rPr>
        <w:t>Die Stromsteuer</w:t>
      </w:r>
      <w:r w:rsidRPr="00FB727F">
        <w:rPr>
          <w:rFonts w:cstheme="minorHAnsi"/>
          <w:b/>
          <w:bCs/>
          <w:color w:val="C00000"/>
        </w:rPr>
        <w:tab/>
      </w:r>
      <w:r w:rsidRPr="00FB727F">
        <w:rPr>
          <w:rFonts w:cstheme="minorHAnsi"/>
          <w:b/>
          <w:bCs/>
          <w:color w:val="C00000"/>
        </w:rPr>
        <w:tab/>
      </w:r>
      <w:r w:rsidRPr="00FB727F">
        <w:rPr>
          <w:rFonts w:cstheme="minorHAnsi"/>
          <w:b/>
          <w:bCs/>
          <w:color w:val="C00000"/>
        </w:rPr>
        <w:tab/>
      </w:r>
      <w:r w:rsidRPr="00FB727F">
        <w:rPr>
          <w:rFonts w:cstheme="minorHAnsi"/>
          <w:b/>
          <w:bCs/>
          <w:color w:val="C00000"/>
        </w:rPr>
        <w:tab/>
        <w:t xml:space="preserve">    </w:t>
      </w:r>
      <w:r w:rsidRPr="00FB727F">
        <w:rPr>
          <w:rFonts w:cstheme="minorHAnsi"/>
          <w:b/>
          <w:bCs/>
          <w:color w:val="C00000"/>
        </w:rPr>
        <w:tab/>
      </w:r>
      <w:r w:rsidRPr="00FB727F">
        <w:rPr>
          <w:rFonts w:cstheme="minorHAnsi"/>
          <w:b/>
          <w:bCs/>
          <w:color w:val="C00000"/>
        </w:rPr>
        <w:tab/>
      </w:r>
      <w:r w:rsidRPr="00FB727F">
        <w:rPr>
          <w:rFonts w:cstheme="minorHAnsi"/>
          <w:b/>
          <w:bCs/>
          <w:color w:val="C00000"/>
        </w:rPr>
        <w:tab/>
        <w:t xml:space="preserve"> </w:t>
      </w:r>
      <w:r w:rsidRPr="00FB727F">
        <w:rPr>
          <w:rFonts w:cstheme="minorHAnsi"/>
          <w:b/>
          <w:bCs/>
          <w:color w:val="C00000"/>
          <w:u w:val="single"/>
        </w:rPr>
        <w:t>2,05 ct/kWh</w:t>
      </w:r>
      <w:r w:rsidRPr="00FB727F">
        <w:rPr>
          <w:rFonts w:cstheme="minorHAnsi"/>
          <w:b/>
          <w:bCs/>
          <w:color w:val="C00000"/>
        </w:rPr>
        <w:t xml:space="preserve">  </w:t>
      </w:r>
      <w:r w:rsidRPr="00FB727F">
        <w:rPr>
          <w:rFonts w:cstheme="minorHAnsi"/>
          <w:b/>
          <w:bCs/>
          <w:color w:val="C00000"/>
        </w:rPr>
        <w:br/>
      </w:r>
      <w:r w:rsidRPr="00FB727F">
        <w:rPr>
          <w:rFonts w:cstheme="minorHAnsi"/>
          <w:color w:val="C00000"/>
        </w:rPr>
        <w:t>Sie soll der Förderung klimapolitischer Ziele sowie zur Stabilisierung des Rentenbeitrags dienen.</w:t>
      </w:r>
    </w:p>
    <w:p w14:paraId="4851D856" w14:textId="4FD2CB64" w:rsidR="00FB727F" w:rsidRDefault="00A9609D" w:rsidP="00FD6763">
      <w:pPr>
        <w:rPr>
          <w:rFonts w:cstheme="minorHAnsi"/>
          <w:b/>
          <w:bCs/>
          <w:i/>
          <w:iCs/>
          <w:color w:val="833C0B" w:themeColor="accent2" w:themeShade="80"/>
          <w:u w:val="single"/>
        </w:rPr>
      </w:pPr>
      <w:r w:rsidRPr="00FB727F">
        <w:rPr>
          <w:b/>
          <w:bCs/>
          <w:color w:val="00B050"/>
          <w:u w:val="single"/>
        </w:rPr>
        <w:t>Die Vertriebskosten</w:t>
      </w:r>
      <w:r w:rsidRPr="00FB727F">
        <w:rPr>
          <w:color w:val="00B050"/>
        </w:rPr>
        <w:t xml:space="preserve"> </w:t>
      </w:r>
      <w:r w:rsidRPr="00FB727F">
        <w:rPr>
          <w:color w:val="00B050"/>
        </w:rPr>
        <w:tab/>
      </w:r>
      <w:r w:rsidRPr="00FB727F">
        <w:rPr>
          <w:color w:val="00B050"/>
        </w:rPr>
        <w:tab/>
      </w:r>
      <w:r w:rsidRPr="00FB727F">
        <w:rPr>
          <w:color w:val="00B050"/>
        </w:rPr>
        <w:tab/>
      </w:r>
      <w:r w:rsidRPr="00FB727F">
        <w:rPr>
          <w:color w:val="00B050"/>
        </w:rPr>
        <w:tab/>
      </w:r>
      <w:r w:rsidRPr="00FB727F">
        <w:rPr>
          <w:color w:val="00B050"/>
        </w:rPr>
        <w:tab/>
      </w:r>
      <w:r w:rsidRPr="00FB727F">
        <w:rPr>
          <w:color w:val="00B050"/>
        </w:rPr>
        <w:tab/>
      </w:r>
      <w:r w:rsidRPr="00FB727F">
        <w:rPr>
          <w:color w:val="00B050"/>
        </w:rPr>
        <w:tab/>
        <w:t>????? ct/kWh</w:t>
      </w:r>
      <w:r w:rsidRPr="00FB727F">
        <w:rPr>
          <w:color w:val="00B050"/>
        </w:rPr>
        <w:br/>
        <w:t>beinhalten den Energieeinkauf, die Vermarktung, die Betriebskosten und den Gewinn</w:t>
      </w:r>
      <w:r w:rsidR="00FB727F">
        <w:rPr>
          <w:color w:val="00B050"/>
        </w:rPr>
        <w:br/>
      </w:r>
    </w:p>
    <w:p w14:paraId="5F059F51" w14:textId="685B1A0F" w:rsidR="0080346E" w:rsidRPr="0033529B" w:rsidRDefault="0080346E" w:rsidP="0080346E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33529B">
        <w:rPr>
          <w:rFonts w:cstheme="minorHAnsi"/>
          <w:b/>
          <w:bCs/>
          <w:color w:val="000000" w:themeColor="text1"/>
          <w:sz w:val="24"/>
          <w:szCs w:val="24"/>
          <w:u w:val="single"/>
        </w:rPr>
        <w:lastRenderedPageBreak/>
        <w:t>Bei Gas sind das:</w:t>
      </w:r>
    </w:p>
    <w:p w14:paraId="7DBFF6D5" w14:textId="77777777" w:rsidR="002726AF" w:rsidRDefault="0080346E" w:rsidP="002726AF">
      <w:pPr>
        <w:pStyle w:val="StandardWeb"/>
        <w:kinsoku w:val="0"/>
        <w:overflowPunct w:val="0"/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806000" w:themeColor="accent4" w:themeShade="80"/>
          <w:sz w:val="22"/>
          <w:szCs w:val="22"/>
        </w:rPr>
      </w:pPr>
      <w:r w:rsidRPr="002726AF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  <w:u w:val="single"/>
        </w:rPr>
        <w:t>Netznutzungsentgelt</w:t>
      </w:r>
      <w:r w:rsidRPr="002726AF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 </w:t>
      </w:r>
      <w:r w:rsidRPr="002726AF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ab/>
      </w:r>
      <w:r w:rsidRPr="002726AF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ab/>
        <w:t>(z.B. EWE</w:t>
      </w:r>
      <w:r w:rsidR="00E01C63" w:rsidRPr="002726AF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 &gt;10.000kWh</w:t>
      </w:r>
      <w:r w:rsidRPr="002726AF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)       </w:t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</w:rPr>
        <w:t xml:space="preserve">  </w:t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</w:rPr>
        <w:tab/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</w:rPr>
        <w:tab/>
      </w:r>
      <w:r w:rsidR="00E01C63"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>123,97</w:t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 xml:space="preserve"> €/J   + </w:t>
      </w:r>
      <w:r w:rsidR="00E01C63"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 xml:space="preserve"> 0</w:t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>,</w:t>
      </w:r>
      <w:r w:rsidR="00E01C63"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>717</w:t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 xml:space="preserve"> ct/kWh</w:t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</w:rPr>
        <w:t xml:space="preserve"> </w:t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</w:rPr>
        <w:br/>
      </w:r>
      <w:r w:rsidRPr="002726AF">
        <w:rPr>
          <w:rFonts w:asciiTheme="minorHAnsi" w:hAnsiTheme="minorHAnsi" w:cstheme="minorHAnsi"/>
          <w:color w:val="806000" w:themeColor="accent4" w:themeShade="80"/>
          <w:sz w:val="22"/>
          <w:szCs w:val="22"/>
        </w:rPr>
        <w:t>Für Kunden ohne registrierende Lastgangmessung.</w:t>
      </w:r>
    </w:p>
    <w:p w14:paraId="012A8E81" w14:textId="15CD3D93" w:rsidR="002726AF" w:rsidRPr="002726AF" w:rsidRDefault="0080346E" w:rsidP="002726AF">
      <w:pPr>
        <w:pStyle w:val="StandardWeb"/>
        <w:kinsoku w:val="0"/>
        <w:overflowPunct w:val="0"/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806000" w:themeColor="accent4" w:themeShade="80"/>
          <w:sz w:val="22"/>
          <w:szCs w:val="22"/>
        </w:rPr>
      </w:pP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 xml:space="preserve">Messstellenbetrieb </w:t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ab/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ab/>
        <w:t>(z.B. EWE</w:t>
      </w:r>
      <w:r w:rsidR="00E01C63"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 xml:space="preserve">  G2,5-G6</w:t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>)</w:t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</w:rPr>
        <w:tab/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</w:rPr>
        <w:tab/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</w:rPr>
        <w:tab/>
      </w:r>
      <w:r w:rsidR="00E01C63"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</w:rPr>
        <w:t xml:space="preserve">5,64 €/J  +  </w:t>
      </w:r>
      <w:r w:rsidR="00E01C63"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>3</w:t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>,</w:t>
      </w:r>
      <w:r w:rsidR="00E01C63"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>66</w:t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 xml:space="preserve"> €/J</w:t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</w:rPr>
        <w:br/>
      </w:r>
      <w:r w:rsidRPr="002726AF">
        <w:rPr>
          <w:rFonts w:asciiTheme="minorHAnsi" w:hAnsiTheme="minorHAnsi" w:cstheme="minorHAnsi"/>
          <w:color w:val="806000" w:themeColor="accent4" w:themeShade="80"/>
          <w:sz w:val="22"/>
          <w:szCs w:val="22"/>
        </w:rPr>
        <w:t>Entgelte für Messstellenbetrieb und Messung.</w:t>
      </w:r>
    </w:p>
    <w:p w14:paraId="4BFBB978" w14:textId="77777777" w:rsidR="002726AF" w:rsidRPr="002726AF" w:rsidRDefault="0080346E" w:rsidP="002726AF">
      <w:pPr>
        <w:pStyle w:val="StandardWeb"/>
        <w:kinsoku w:val="0"/>
        <w:overflowPunct w:val="0"/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806000" w:themeColor="accent4" w:themeShade="80"/>
          <w:sz w:val="22"/>
          <w:szCs w:val="22"/>
        </w:rPr>
      </w:pPr>
      <w:r w:rsidRPr="002726AF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  <w:u w:val="single"/>
        </w:rPr>
        <w:t>Konzessionsabgabe</w:t>
      </w:r>
      <w:r w:rsidRPr="002726AF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 </w:t>
      </w:r>
      <w:r w:rsidRPr="002726AF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ab/>
      </w:r>
      <w:r w:rsidRPr="002726AF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ab/>
        <w:t xml:space="preserve">(z.B. bei Stadt &lt; 25.000 Einw.)    </w:t>
      </w:r>
      <w:r w:rsidRPr="002726AF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ab/>
      </w:r>
      <w:r w:rsidRPr="002726AF">
        <w:rPr>
          <w:rFonts w:asciiTheme="minorHAnsi" w:eastAsiaTheme="minorEastAsia" w:hAnsiTheme="minorHAnsi" w:cstheme="minorHAnsi"/>
          <w:b/>
          <w:bCs/>
          <w:color w:val="806000" w:themeColor="accent4" w:themeShade="80"/>
          <w:kern w:val="24"/>
          <w:sz w:val="22"/>
          <w:szCs w:val="22"/>
          <w:u w:val="single"/>
        </w:rPr>
        <w:t>1,32 ct/kWh</w:t>
      </w:r>
      <w:r w:rsidRPr="002726AF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br/>
      </w:r>
      <w:r w:rsidRPr="002726AF">
        <w:rPr>
          <w:rFonts w:asciiTheme="minorHAnsi" w:hAnsiTheme="minorHAnsi" w:cstheme="minorHAnsi"/>
          <w:color w:val="806000" w:themeColor="accent4" w:themeShade="80"/>
          <w:sz w:val="22"/>
          <w:szCs w:val="22"/>
        </w:rPr>
        <w:t>Konzessionsabgaben für die Nutzung kommunaler Wege</w:t>
      </w:r>
    </w:p>
    <w:p w14:paraId="4B35C6AF" w14:textId="7C57B65B" w:rsidR="00E01C63" w:rsidRPr="00E01C63" w:rsidRDefault="00E01C63" w:rsidP="002726AF">
      <w:pPr>
        <w:pStyle w:val="StandardWeb"/>
        <w:kinsoku w:val="0"/>
        <w:overflowPunct w:val="0"/>
        <w:spacing w:before="0" w:beforeAutospacing="0" w:after="1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26AF">
        <w:rPr>
          <w:rFonts w:asciiTheme="minorHAnsi" w:hAnsiTheme="minorHAnsi" w:cstheme="minorHAnsi"/>
          <w:b/>
          <w:bCs/>
          <w:sz w:val="22"/>
          <w:szCs w:val="22"/>
          <w:u w:val="single"/>
        </w:rPr>
        <w:t>CO2 Steuer</w:t>
      </w:r>
      <w:r w:rsidRPr="002726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26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26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26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26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26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26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26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26A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0,55 ct/kWh </w:t>
      </w:r>
      <w:r w:rsidRPr="002726AF">
        <w:rPr>
          <w:rFonts w:asciiTheme="minorHAnsi" w:hAnsiTheme="minorHAnsi" w:cstheme="minorHAnsi"/>
          <w:sz w:val="22"/>
          <w:szCs w:val="22"/>
        </w:rPr>
        <w:br/>
        <w:t>Die CO2 Steuer</w:t>
      </w:r>
      <w:r w:rsidRPr="00E01C63">
        <w:rPr>
          <w:rFonts w:asciiTheme="minorHAnsi" w:hAnsiTheme="minorHAnsi" w:cstheme="minorHAnsi"/>
          <w:sz w:val="22"/>
          <w:szCs w:val="22"/>
        </w:rPr>
        <w:t xml:space="preserve">: 2023 = 0,64 ct/kWh, 2024 = 0,82 ct/kWh, 2025 = 1,0 ct/kWh   </w:t>
      </w:r>
    </w:p>
    <w:p w14:paraId="325D49B7" w14:textId="77777777" w:rsidR="002726AF" w:rsidRDefault="00E01C63" w:rsidP="002726AF">
      <w:pPr>
        <w:kinsoku w:val="0"/>
        <w:overflowPunct w:val="0"/>
        <w:spacing w:line="240" w:lineRule="auto"/>
        <w:textAlignment w:val="baseline"/>
        <w:rPr>
          <w:rFonts w:eastAsia="Times New Roman" w:cstheme="minorHAnsi"/>
          <w:lang w:eastAsia="de-DE"/>
        </w:rPr>
      </w:pPr>
      <w:r w:rsidRPr="00E01C63">
        <w:rPr>
          <w:rFonts w:eastAsia="Times New Roman" w:cstheme="minorHAnsi"/>
          <w:b/>
          <w:bCs/>
          <w:u w:val="single"/>
          <w:lang w:eastAsia="de-DE"/>
        </w:rPr>
        <w:t>Bilanzierungsumlage für SLP (Standardlastprofil)</w:t>
      </w:r>
      <w:r w:rsidRPr="00E01C63">
        <w:rPr>
          <w:rFonts w:eastAsia="Times New Roman" w:cstheme="minorHAnsi"/>
          <w:b/>
          <w:bCs/>
          <w:color w:val="0070C0"/>
          <w:lang w:eastAsia="de-DE"/>
        </w:rPr>
        <w:t xml:space="preserve"> </w:t>
      </w:r>
      <w:r w:rsidRPr="00E01C63">
        <w:rPr>
          <w:rFonts w:eastAsia="Times New Roman" w:cstheme="minorHAnsi"/>
          <w:b/>
          <w:bCs/>
          <w:color w:val="0070C0"/>
          <w:lang w:eastAsia="de-DE"/>
        </w:rPr>
        <w:tab/>
      </w:r>
      <w:r w:rsidRPr="00E01C63">
        <w:rPr>
          <w:rFonts w:eastAsia="Times New Roman" w:cstheme="minorHAnsi"/>
          <w:b/>
          <w:bCs/>
          <w:color w:val="0070C0"/>
          <w:lang w:eastAsia="de-DE"/>
        </w:rPr>
        <w:tab/>
      </w:r>
      <w:r w:rsidR="00135434" w:rsidRPr="002726AF">
        <w:rPr>
          <w:rFonts w:eastAsia="Times New Roman" w:cstheme="minorHAnsi"/>
          <w:b/>
          <w:bCs/>
          <w:color w:val="0070C0"/>
          <w:lang w:eastAsia="de-DE"/>
        </w:rPr>
        <w:tab/>
      </w:r>
      <w:r w:rsidRPr="00E01C63">
        <w:rPr>
          <w:rFonts w:eastAsia="Times New Roman" w:cstheme="minorHAnsi"/>
          <w:b/>
          <w:bCs/>
          <w:color w:val="0070C0"/>
          <w:lang w:eastAsia="de-DE"/>
        </w:rPr>
        <w:t>0,000 ct/kWh</w:t>
      </w:r>
      <w:r w:rsidRPr="00E01C63">
        <w:rPr>
          <w:rFonts w:eastAsia="Times New Roman" w:cstheme="minorHAnsi"/>
          <w:lang w:eastAsia="de-DE"/>
        </w:rPr>
        <w:br/>
        <w:t>Die Bilanzierungsumlage</w:t>
      </w:r>
      <w:r w:rsidR="00135434" w:rsidRPr="002726AF">
        <w:rPr>
          <w:rFonts w:eastAsia="Times New Roman" w:cstheme="minorHAnsi"/>
          <w:lang w:eastAsia="de-DE"/>
        </w:rPr>
        <w:t xml:space="preserve"> wird fällig für</w:t>
      </w:r>
      <w:r w:rsidRPr="00E01C63">
        <w:rPr>
          <w:rFonts w:eastAsia="Times New Roman" w:cstheme="minorHAnsi"/>
          <w:lang w:eastAsia="de-DE"/>
        </w:rPr>
        <w:t xml:space="preserve"> die Regelung der Ein- u</w:t>
      </w:r>
      <w:r w:rsidR="00135434" w:rsidRPr="002726AF">
        <w:rPr>
          <w:rFonts w:eastAsia="Times New Roman" w:cstheme="minorHAnsi"/>
          <w:lang w:eastAsia="de-DE"/>
        </w:rPr>
        <w:t>.</w:t>
      </w:r>
      <w:r w:rsidRPr="00E01C63">
        <w:rPr>
          <w:rFonts w:eastAsia="Times New Roman" w:cstheme="minorHAnsi"/>
          <w:lang w:eastAsia="de-DE"/>
        </w:rPr>
        <w:t xml:space="preserve"> Ausspeisemengen fällig (Bilanzierung, Beschaffung, etc.). </w:t>
      </w:r>
    </w:p>
    <w:p w14:paraId="1D779EDA" w14:textId="1B1FE9E9" w:rsidR="00E01C63" w:rsidRPr="00E01C63" w:rsidRDefault="00E01C63" w:rsidP="002726AF">
      <w:pPr>
        <w:kinsoku w:val="0"/>
        <w:overflowPunct w:val="0"/>
        <w:spacing w:line="240" w:lineRule="auto"/>
        <w:textAlignment w:val="baseline"/>
        <w:rPr>
          <w:rFonts w:eastAsia="Times New Roman" w:cstheme="minorHAnsi"/>
          <w:lang w:eastAsia="de-DE"/>
        </w:rPr>
      </w:pPr>
      <w:r w:rsidRPr="00E01C63">
        <w:rPr>
          <w:rFonts w:eastAsia="Times New Roman" w:cstheme="minorHAnsi"/>
          <w:b/>
          <w:bCs/>
          <w:lang w:eastAsia="de-DE"/>
        </w:rPr>
        <w:t xml:space="preserve">Speicherumlage nach § 35e EnWG </w:t>
      </w:r>
      <w:r w:rsidRPr="00E01C63">
        <w:rPr>
          <w:rFonts w:eastAsia="Times New Roman" w:cstheme="minorHAnsi"/>
          <w:b/>
          <w:bCs/>
          <w:lang w:eastAsia="de-DE"/>
        </w:rPr>
        <w:tab/>
      </w:r>
      <w:r w:rsidRPr="00E01C63">
        <w:rPr>
          <w:rFonts w:eastAsia="Times New Roman" w:cstheme="minorHAnsi"/>
          <w:b/>
          <w:bCs/>
          <w:lang w:eastAsia="de-DE"/>
        </w:rPr>
        <w:tab/>
      </w:r>
      <w:r w:rsidRPr="00E01C63">
        <w:rPr>
          <w:rFonts w:eastAsia="Times New Roman" w:cstheme="minorHAnsi"/>
          <w:b/>
          <w:bCs/>
          <w:lang w:eastAsia="de-DE"/>
        </w:rPr>
        <w:tab/>
      </w:r>
      <w:r w:rsidR="00135434" w:rsidRPr="002726AF">
        <w:rPr>
          <w:rFonts w:eastAsia="Times New Roman" w:cstheme="minorHAnsi"/>
          <w:b/>
          <w:bCs/>
          <w:lang w:eastAsia="de-DE"/>
        </w:rPr>
        <w:tab/>
      </w:r>
      <w:r w:rsidRPr="00E01C63">
        <w:rPr>
          <w:rFonts w:eastAsia="Times New Roman" w:cstheme="minorHAnsi"/>
          <w:b/>
          <w:bCs/>
          <w:lang w:eastAsia="de-DE"/>
        </w:rPr>
        <w:tab/>
      </w:r>
      <w:r w:rsidRPr="00E01C63">
        <w:rPr>
          <w:rFonts w:eastAsia="Times New Roman" w:cstheme="minorHAnsi"/>
          <w:b/>
          <w:bCs/>
          <w:color w:val="0070C0"/>
          <w:lang w:eastAsia="de-DE"/>
        </w:rPr>
        <w:t>0,059 ct/kWh</w:t>
      </w:r>
      <w:r w:rsidRPr="00E01C63">
        <w:rPr>
          <w:rFonts w:eastAsia="Times New Roman" w:cstheme="minorHAnsi"/>
          <w:b/>
          <w:bCs/>
          <w:color w:val="0070C0"/>
          <w:lang w:eastAsia="de-DE"/>
        </w:rPr>
        <w:br/>
      </w:r>
      <w:r w:rsidRPr="00E01C63">
        <w:rPr>
          <w:rFonts w:eastAsia="Times New Roman" w:cstheme="minorHAnsi"/>
          <w:lang w:eastAsia="de-DE"/>
        </w:rPr>
        <w:t xml:space="preserve">Ausgleich der Kosten zum Füllen der deutschen Gasspeicher </w:t>
      </w:r>
      <w:r w:rsidR="00135434" w:rsidRPr="002726AF">
        <w:rPr>
          <w:rFonts w:eastAsia="Times New Roman" w:cstheme="minorHAnsi"/>
          <w:lang w:eastAsia="de-DE"/>
        </w:rPr>
        <w:tab/>
      </w:r>
      <w:r w:rsidR="00135434" w:rsidRPr="002726AF">
        <w:rPr>
          <w:rFonts w:eastAsia="Times New Roman" w:cstheme="minorHAnsi"/>
          <w:lang w:eastAsia="de-DE"/>
        </w:rPr>
        <w:tab/>
      </w:r>
      <w:r w:rsidRPr="00E01C63">
        <w:rPr>
          <w:rFonts w:eastAsia="Times New Roman" w:cstheme="minorHAnsi"/>
          <w:lang w:eastAsia="de-DE"/>
        </w:rPr>
        <w:t>ab 1. Oktober 2022 erhoben.</w:t>
      </w:r>
    </w:p>
    <w:p w14:paraId="52F18997" w14:textId="77777777" w:rsidR="002726AF" w:rsidRDefault="00FD6763" w:rsidP="0080346E">
      <w:pPr>
        <w:rPr>
          <w:rFonts w:cstheme="minorHAnsi"/>
        </w:rPr>
      </w:pPr>
      <w:r w:rsidRPr="002726AF">
        <w:rPr>
          <w:rFonts w:cstheme="minorHAnsi"/>
          <w:b/>
          <w:bCs/>
          <w:u w:val="single"/>
        </w:rPr>
        <w:t>Energiesteuer (Gassteuer)</w:t>
      </w:r>
      <w:r w:rsidRPr="002726AF">
        <w:rPr>
          <w:rFonts w:cstheme="minorHAnsi"/>
          <w:b/>
          <w:bCs/>
        </w:rPr>
        <w:tab/>
      </w:r>
      <w:r w:rsidRPr="002726AF">
        <w:rPr>
          <w:rFonts w:cstheme="minorHAnsi"/>
          <w:b/>
          <w:bCs/>
        </w:rPr>
        <w:tab/>
      </w:r>
      <w:r w:rsidRPr="002726AF">
        <w:rPr>
          <w:rFonts w:cstheme="minorHAnsi"/>
          <w:b/>
          <w:bCs/>
        </w:rPr>
        <w:tab/>
      </w:r>
      <w:r w:rsidRPr="002726AF">
        <w:rPr>
          <w:rFonts w:cstheme="minorHAnsi"/>
          <w:b/>
          <w:bCs/>
        </w:rPr>
        <w:tab/>
      </w:r>
      <w:r w:rsidRPr="002726AF">
        <w:rPr>
          <w:rFonts w:cstheme="minorHAnsi"/>
          <w:b/>
          <w:bCs/>
        </w:rPr>
        <w:tab/>
      </w:r>
      <w:r w:rsidRPr="002726AF">
        <w:rPr>
          <w:rFonts w:cstheme="minorHAnsi"/>
          <w:b/>
          <w:bCs/>
        </w:rPr>
        <w:tab/>
      </w:r>
      <w:r w:rsidRPr="002726AF">
        <w:rPr>
          <w:rFonts w:cstheme="minorHAnsi"/>
          <w:b/>
          <w:bCs/>
          <w:color w:val="0070C0"/>
        </w:rPr>
        <w:t>0,55 ct/kWh</w:t>
      </w:r>
      <w:r w:rsidRPr="002726AF">
        <w:rPr>
          <w:rFonts w:cstheme="minorHAnsi"/>
          <w:b/>
          <w:bCs/>
          <w:color w:val="0070C0"/>
          <w:u w:val="single"/>
        </w:rPr>
        <w:t xml:space="preserve"> </w:t>
      </w:r>
      <w:r w:rsidRPr="002726AF">
        <w:rPr>
          <w:rFonts w:cstheme="minorHAnsi"/>
          <w:b/>
          <w:bCs/>
          <w:color w:val="0070C0"/>
          <w:u w:val="single"/>
        </w:rPr>
        <w:br/>
      </w:r>
      <w:r w:rsidRPr="002726AF">
        <w:rPr>
          <w:rFonts w:cstheme="minorHAnsi"/>
        </w:rPr>
        <w:t xml:space="preserve">Belastung von Kraft- und Heizstoffen soll zu einem sparsameren Umgang mit Energie führen, </w:t>
      </w:r>
    </w:p>
    <w:p w14:paraId="67239C7A" w14:textId="77777777" w:rsidR="002726AF" w:rsidRDefault="0080346E" w:rsidP="0080346E">
      <w:pPr>
        <w:rPr>
          <w:rFonts w:cstheme="minorHAnsi"/>
          <w:color w:val="00B050"/>
        </w:rPr>
      </w:pPr>
      <w:r w:rsidRPr="002726AF">
        <w:rPr>
          <w:rFonts w:cstheme="minorHAnsi"/>
          <w:b/>
          <w:bCs/>
          <w:color w:val="00B050"/>
          <w:u w:val="single"/>
        </w:rPr>
        <w:t>Die Vertriebskosten</w:t>
      </w:r>
      <w:r w:rsidRPr="002726AF">
        <w:rPr>
          <w:rFonts w:cstheme="minorHAnsi"/>
          <w:color w:val="00B050"/>
        </w:rPr>
        <w:t xml:space="preserve"> </w:t>
      </w:r>
      <w:r w:rsidRPr="002726AF">
        <w:rPr>
          <w:rFonts w:cstheme="minorHAnsi"/>
          <w:color w:val="00B050"/>
        </w:rPr>
        <w:tab/>
      </w:r>
      <w:r w:rsidRPr="002726AF">
        <w:rPr>
          <w:rFonts w:cstheme="minorHAnsi"/>
          <w:color w:val="00B050"/>
        </w:rPr>
        <w:tab/>
      </w:r>
      <w:r w:rsidRPr="002726AF">
        <w:rPr>
          <w:rFonts w:cstheme="minorHAnsi"/>
          <w:color w:val="00B050"/>
        </w:rPr>
        <w:tab/>
      </w:r>
      <w:r w:rsidRPr="002726AF">
        <w:rPr>
          <w:rFonts w:cstheme="minorHAnsi"/>
          <w:color w:val="00B050"/>
        </w:rPr>
        <w:tab/>
      </w:r>
      <w:r w:rsidRPr="002726AF">
        <w:rPr>
          <w:rFonts w:cstheme="minorHAnsi"/>
          <w:color w:val="00B050"/>
        </w:rPr>
        <w:tab/>
      </w:r>
      <w:r w:rsidRPr="002726AF">
        <w:rPr>
          <w:rFonts w:cstheme="minorHAnsi"/>
          <w:color w:val="00B050"/>
        </w:rPr>
        <w:tab/>
      </w:r>
      <w:r w:rsidRPr="002726AF">
        <w:rPr>
          <w:rFonts w:cstheme="minorHAnsi"/>
          <w:color w:val="00B050"/>
        </w:rPr>
        <w:tab/>
        <w:t>????? ct/kWh</w:t>
      </w:r>
      <w:r w:rsidRPr="002726AF">
        <w:rPr>
          <w:rFonts w:cstheme="minorHAnsi"/>
          <w:color w:val="00B050"/>
        </w:rPr>
        <w:br/>
        <w:t>beinhalten den Energieeinkauf, die Vermarktung, die Betriebskosten und den Gewinn</w:t>
      </w:r>
    </w:p>
    <w:p w14:paraId="3FB4D3DE" w14:textId="2C493494" w:rsidR="002726AF" w:rsidRPr="0033529B" w:rsidRDefault="0080346E" w:rsidP="0080346E">
      <w:pPr>
        <w:rPr>
          <w:rFonts w:cstheme="minorHAnsi"/>
          <w:b/>
          <w:bCs/>
          <w:i/>
          <w:iCs/>
          <w:sz w:val="24"/>
          <w:szCs w:val="24"/>
        </w:rPr>
      </w:pPr>
      <w:r w:rsidRPr="002726AF">
        <w:rPr>
          <w:rFonts w:cstheme="minorHAnsi"/>
          <w:b/>
          <w:bCs/>
          <w:i/>
          <w:iCs/>
        </w:rPr>
        <w:t xml:space="preserve">                                                  </w:t>
      </w:r>
      <w:r w:rsidRPr="0033529B">
        <w:rPr>
          <w:rFonts w:cstheme="minorHAnsi"/>
          <w:b/>
          <w:bCs/>
          <w:i/>
          <w:iCs/>
          <w:sz w:val="24"/>
          <w:szCs w:val="24"/>
        </w:rPr>
        <w:t>und auf all das kommt</w:t>
      </w:r>
      <w:r w:rsidR="0033529B">
        <w:rPr>
          <w:rFonts w:cstheme="minorHAnsi"/>
          <w:b/>
          <w:bCs/>
          <w:i/>
          <w:iCs/>
          <w:sz w:val="24"/>
          <w:szCs w:val="24"/>
        </w:rPr>
        <w:t xml:space="preserve"> dann</w:t>
      </w:r>
      <w:r w:rsidR="002726AF" w:rsidRPr="0033529B">
        <w:rPr>
          <w:rFonts w:cstheme="minorHAnsi"/>
          <w:b/>
          <w:bCs/>
          <w:i/>
          <w:iCs/>
          <w:sz w:val="24"/>
          <w:szCs w:val="24"/>
        </w:rPr>
        <w:t xml:space="preserve"> immer noch</w:t>
      </w:r>
    </w:p>
    <w:p w14:paraId="1F15557E" w14:textId="2F3BEED8" w:rsidR="0033529B" w:rsidRPr="0033529B" w:rsidRDefault="0080346E" w:rsidP="0080346E">
      <w:pPr>
        <w:rPr>
          <w:rFonts w:cstheme="minorHAnsi"/>
          <w:b/>
          <w:bCs/>
          <w:color w:val="FF0000"/>
        </w:rPr>
      </w:pPr>
      <w:r w:rsidRPr="002726AF">
        <w:rPr>
          <w:rFonts w:cstheme="minorHAnsi"/>
          <w:b/>
          <w:bCs/>
          <w:color w:val="FF0000"/>
          <w:u w:val="single"/>
        </w:rPr>
        <w:t>Die Umsatzsteuer (Mehrwertsteuer)</w:t>
      </w:r>
      <w:r w:rsidRPr="002726AF">
        <w:rPr>
          <w:rFonts w:cstheme="minorHAnsi"/>
          <w:b/>
          <w:bCs/>
          <w:color w:val="FF0000"/>
        </w:rPr>
        <w:tab/>
        <w:t xml:space="preserve">              </w:t>
      </w:r>
      <w:r w:rsidRPr="002726AF">
        <w:rPr>
          <w:rFonts w:cstheme="minorHAnsi"/>
          <w:b/>
          <w:bCs/>
          <w:color w:val="FF0000"/>
        </w:rPr>
        <w:tab/>
      </w:r>
      <w:r w:rsidRPr="002726AF">
        <w:rPr>
          <w:rFonts w:cstheme="minorHAnsi"/>
          <w:b/>
          <w:bCs/>
          <w:color w:val="FF0000"/>
        </w:rPr>
        <w:tab/>
      </w:r>
      <w:r w:rsidRPr="002726AF">
        <w:rPr>
          <w:rFonts w:cstheme="minorHAnsi"/>
          <w:b/>
          <w:bCs/>
          <w:color w:val="FF0000"/>
        </w:rPr>
        <w:tab/>
      </w:r>
      <w:r w:rsidRPr="002726AF">
        <w:rPr>
          <w:rFonts w:cstheme="minorHAnsi"/>
          <w:b/>
          <w:bCs/>
          <w:color w:val="FF0000"/>
        </w:rPr>
        <w:tab/>
      </w:r>
      <w:r w:rsidRPr="002726AF">
        <w:rPr>
          <w:rFonts w:cstheme="minorHAnsi"/>
          <w:b/>
          <w:bCs/>
          <w:color w:val="FF0000"/>
        </w:rPr>
        <w:tab/>
      </w:r>
      <w:r w:rsidR="0033529B">
        <w:rPr>
          <w:rFonts w:cstheme="minorHAnsi"/>
          <w:b/>
          <w:bCs/>
          <w:color w:val="FF0000"/>
        </w:rPr>
        <w:br/>
      </w:r>
      <w:r w:rsidRPr="002726AF">
        <w:rPr>
          <w:rFonts w:cstheme="minorHAnsi"/>
          <w:color w:val="FF0000"/>
        </w:rPr>
        <w:t>Leistungen, die Unternehmer gegenüber ihren Kunden erbringen unterliegen der Umsatzsteuer</w:t>
      </w:r>
      <w:r w:rsidR="00FE7551">
        <w:rPr>
          <w:rFonts w:cstheme="minorHAnsi"/>
          <w:color w:val="FF0000"/>
        </w:rPr>
        <w:t>. Sie</w:t>
      </w:r>
      <w:r w:rsidRPr="002726AF">
        <w:rPr>
          <w:rFonts w:cstheme="minorHAnsi"/>
          <w:color w:val="FF0000"/>
        </w:rPr>
        <w:t xml:space="preserve"> wird auf die Gesamtsumme erhoben.</w:t>
      </w:r>
      <w:r w:rsidR="00FE7551">
        <w:rPr>
          <w:rFonts w:cstheme="minorHAnsi"/>
          <w:color w:val="FF0000"/>
        </w:rPr>
        <w:tab/>
      </w:r>
      <w:r w:rsidR="0033529B">
        <w:rPr>
          <w:rFonts w:cstheme="minorHAnsi"/>
          <w:color w:val="FF0000"/>
        </w:rPr>
        <w:t xml:space="preserve">Bei </w:t>
      </w:r>
      <w:r w:rsidR="0033529B" w:rsidRPr="0033529B">
        <w:rPr>
          <w:rFonts w:cstheme="minorHAnsi"/>
          <w:b/>
          <w:bCs/>
          <w:color w:val="FF0000"/>
        </w:rPr>
        <w:t>Strom</w:t>
      </w:r>
      <w:r w:rsidR="0033529B">
        <w:rPr>
          <w:rFonts w:cstheme="minorHAnsi"/>
          <w:color w:val="FF0000"/>
        </w:rPr>
        <w:t xml:space="preserve"> sind das </w:t>
      </w:r>
      <w:r w:rsidR="00FE7551">
        <w:rPr>
          <w:rFonts w:cstheme="minorHAnsi"/>
          <w:color w:val="FF0000"/>
        </w:rPr>
        <w:t xml:space="preserve">= </w:t>
      </w:r>
      <w:r w:rsidR="0033529B" w:rsidRPr="0033529B">
        <w:rPr>
          <w:rFonts w:cstheme="minorHAnsi"/>
          <w:b/>
          <w:bCs/>
          <w:color w:val="FF0000"/>
        </w:rPr>
        <w:t>19 %</w:t>
      </w:r>
      <w:r w:rsidR="0033529B">
        <w:rPr>
          <w:rFonts w:cstheme="minorHAnsi"/>
          <w:color w:val="FF0000"/>
        </w:rPr>
        <w:br/>
      </w:r>
      <w:r w:rsidR="00FE7551">
        <w:rPr>
          <w:rFonts w:cstheme="minorHAnsi"/>
          <w:color w:val="FF0000"/>
        </w:rPr>
        <w:t xml:space="preserve"> </w:t>
      </w:r>
      <w:r w:rsidR="00FE7551">
        <w:rPr>
          <w:rFonts w:cstheme="minorHAnsi"/>
          <w:color w:val="FF0000"/>
        </w:rPr>
        <w:tab/>
      </w:r>
      <w:r w:rsidR="00FE7551">
        <w:rPr>
          <w:rFonts w:cstheme="minorHAnsi"/>
          <w:color w:val="FF0000"/>
        </w:rPr>
        <w:tab/>
      </w:r>
      <w:r w:rsidR="00FE7551">
        <w:rPr>
          <w:rFonts w:cstheme="minorHAnsi"/>
          <w:color w:val="FF0000"/>
        </w:rPr>
        <w:tab/>
      </w:r>
      <w:r w:rsidR="00FE7551">
        <w:rPr>
          <w:rFonts w:cstheme="minorHAnsi"/>
          <w:color w:val="FF0000"/>
        </w:rPr>
        <w:tab/>
      </w:r>
      <w:r w:rsidR="00FE7551">
        <w:rPr>
          <w:rFonts w:cstheme="minorHAnsi"/>
          <w:color w:val="FF0000"/>
        </w:rPr>
        <w:tab/>
      </w:r>
      <w:r w:rsidR="0033529B">
        <w:rPr>
          <w:rFonts w:cstheme="minorHAnsi"/>
          <w:color w:val="FF0000"/>
        </w:rPr>
        <w:t xml:space="preserve">Bei </w:t>
      </w:r>
      <w:r w:rsidR="0033529B" w:rsidRPr="0033529B">
        <w:rPr>
          <w:rFonts w:cstheme="minorHAnsi"/>
          <w:b/>
          <w:bCs/>
          <w:color w:val="FF0000"/>
        </w:rPr>
        <w:t>Gas</w:t>
      </w:r>
      <w:r w:rsidR="0033529B">
        <w:rPr>
          <w:rFonts w:cstheme="minorHAnsi"/>
          <w:color w:val="FF0000"/>
        </w:rPr>
        <w:t xml:space="preserve"> sind das</w:t>
      </w:r>
      <w:r w:rsidR="00FE7551">
        <w:rPr>
          <w:rFonts w:cstheme="minorHAnsi"/>
          <w:color w:val="FF0000"/>
        </w:rPr>
        <w:t xml:space="preserve">      = </w:t>
      </w:r>
      <w:r w:rsidR="00892223">
        <w:rPr>
          <w:rFonts w:cstheme="minorHAnsi"/>
          <w:b/>
          <w:bCs/>
          <w:color w:val="FF0000"/>
        </w:rPr>
        <w:t>19</w:t>
      </w:r>
      <w:r w:rsidR="0033529B" w:rsidRPr="0033529B">
        <w:rPr>
          <w:rFonts w:cstheme="minorHAnsi"/>
          <w:b/>
          <w:bCs/>
          <w:color w:val="FF0000"/>
        </w:rPr>
        <w:t xml:space="preserve"> %</w:t>
      </w:r>
      <w:r w:rsidR="0033529B">
        <w:rPr>
          <w:rFonts w:cstheme="minorHAnsi"/>
          <w:color w:val="FF0000"/>
        </w:rPr>
        <w:t xml:space="preserve"> </w:t>
      </w:r>
      <w:r w:rsidR="00FE7551">
        <w:rPr>
          <w:rFonts w:cstheme="minorHAnsi"/>
          <w:color w:val="FF0000"/>
        </w:rPr>
        <w:t xml:space="preserve">    </w:t>
      </w:r>
      <w:r w:rsidR="0033529B">
        <w:rPr>
          <w:rFonts w:cstheme="minorHAnsi"/>
          <w:color w:val="FF0000"/>
        </w:rPr>
        <w:t xml:space="preserve">ab dem 01.10.22 </w:t>
      </w:r>
      <w:r w:rsidR="00FE7551">
        <w:rPr>
          <w:rFonts w:cstheme="minorHAnsi"/>
          <w:color w:val="FF0000"/>
        </w:rPr>
        <w:t xml:space="preserve">  =</w:t>
      </w:r>
      <w:r w:rsidR="0033529B">
        <w:rPr>
          <w:rFonts w:cstheme="minorHAnsi"/>
          <w:color w:val="FF0000"/>
        </w:rPr>
        <w:t xml:space="preserve"> </w:t>
      </w:r>
      <w:r w:rsidR="0033529B" w:rsidRPr="0033529B">
        <w:rPr>
          <w:rFonts w:cstheme="minorHAnsi"/>
          <w:b/>
          <w:bCs/>
          <w:color w:val="FF0000"/>
        </w:rPr>
        <w:t>7 %</w:t>
      </w:r>
    </w:p>
    <w:p w14:paraId="2B7BEB04" w14:textId="3AEFE71A" w:rsidR="00FD6763" w:rsidRDefault="0080346E" w:rsidP="0080346E">
      <w:pPr>
        <w:rPr>
          <w:rFonts w:cstheme="minorHAnsi"/>
          <w:b/>
          <w:bCs/>
          <w:color w:val="833C0B" w:themeColor="accent2" w:themeShade="80"/>
        </w:rPr>
      </w:pPr>
      <w:r w:rsidRPr="00FE7551">
        <w:rPr>
          <w:rFonts w:cstheme="minorHAnsi"/>
          <w:b/>
          <w:bCs/>
          <w:color w:val="833C0B" w:themeColor="accent2" w:themeShade="80"/>
        </w:rPr>
        <w:t>Immer Mitte Oktober werden die Umlagen und Netzentgelte für das neue Jahr neu bestimmt</w:t>
      </w:r>
      <w:r w:rsidR="00FD6763" w:rsidRPr="00FE7551">
        <w:rPr>
          <w:rFonts w:cstheme="minorHAnsi"/>
          <w:b/>
          <w:bCs/>
          <w:color w:val="833C0B" w:themeColor="accent2" w:themeShade="80"/>
        </w:rPr>
        <w:t>,</w:t>
      </w:r>
      <w:r w:rsidR="00FE7551" w:rsidRPr="00FE7551">
        <w:rPr>
          <w:rFonts w:cstheme="minorHAnsi"/>
          <w:b/>
          <w:bCs/>
          <w:color w:val="833C0B" w:themeColor="accent2" w:themeShade="80"/>
        </w:rPr>
        <w:t xml:space="preserve"> a</w:t>
      </w:r>
      <w:r w:rsidR="00FD6763" w:rsidRPr="00FE7551">
        <w:rPr>
          <w:rFonts w:cstheme="minorHAnsi"/>
          <w:b/>
          <w:bCs/>
          <w:color w:val="833C0B" w:themeColor="accent2" w:themeShade="80"/>
        </w:rPr>
        <w:t>ußerdem kann bei Ausrufung der Warnstufe 3 die Preisgarantie entfallen</w:t>
      </w:r>
      <w:r w:rsidR="00FE7551" w:rsidRPr="00FE7551">
        <w:rPr>
          <w:rFonts w:cstheme="minorHAnsi"/>
          <w:b/>
          <w:bCs/>
          <w:color w:val="833C0B" w:themeColor="accent2" w:themeShade="80"/>
        </w:rPr>
        <w:t xml:space="preserve"> und es treten Sonderregelungen in Kraft</w:t>
      </w:r>
      <w:r w:rsidR="002726AF" w:rsidRPr="00FE7551">
        <w:rPr>
          <w:rFonts w:cstheme="minorHAnsi"/>
          <w:b/>
          <w:bCs/>
          <w:color w:val="833C0B" w:themeColor="accent2" w:themeShade="80"/>
        </w:rPr>
        <w:t>.</w:t>
      </w:r>
    </w:p>
    <w:p w14:paraId="2081A9C3" w14:textId="6665EF5E" w:rsidR="00FE7551" w:rsidRPr="00FE7551" w:rsidRDefault="00FE7551" w:rsidP="0080346E">
      <w:pPr>
        <w:rPr>
          <w:rFonts w:cstheme="minorHAnsi"/>
          <w:b/>
          <w:bCs/>
        </w:rPr>
      </w:pPr>
      <w:r w:rsidRPr="00FE7551">
        <w:rPr>
          <w:rFonts w:cstheme="minorHAnsi"/>
          <w:b/>
          <w:bCs/>
        </w:rPr>
        <w:t>Mitglieder, die durch ihre Abrechnung nicht mehr durchsteigen, bieten wir eine kostenlose Überprüfung der Abrechnung an.</w:t>
      </w:r>
    </w:p>
    <w:p w14:paraId="4DDE98D8" w14:textId="77777777" w:rsidR="0080346E" w:rsidRPr="002726AF" w:rsidRDefault="0080346E">
      <w:pPr>
        <w:rPr>
          <w:rFonts w:cstheme="minorHAnsi"/>
          <w:b/>
          <w:bCs/>
          <w:i/>
          <w:iCs/>
          <w:color w:val="833C0B" w:themeColor="accent2" w:themeShade="80"/>
          <w:u w:val="single"/>
        </w:rPr>
      </w:pPr>
    </w:p>
    <w:sectPr w:rsidR="0080346E" w:rsidRPr="00272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5256"/>
    <w:multiLevelType w:val="hybridMultilevel"/>
    <w:tmpl w:val="477CB280"/>
    <w:lvl w:ilvl="0" w:tplc="975658A6">
      <w:start w:val="1"/>
      <w:numFmt w:val="upperLetter"/>
      <w:lvlText w:val="%1.)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993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69"/>
    <w:rsid w:val="00081F70"/>
    <w:rsid w:val="00135434"/>
    <w:rsid w:val="001C1B6C"/>
    <w:rsid w:val="002726AF"/>
    <w:rsid w:val="002A42B2"/>
    <w:rsid w:val="0033529B"/>
    <w:rsid w:val="00425BA6"/>
    <w:rsid w:val="00473D0A"/>
    <w:rsid w:val="004E5C62"/>
    <w:rsid w:val="00501B58"/>
    <w:rsid w:val="00537ACE"/>
    <w:rsid w:val="0059646F"/>
    <w:rsid w:val="005A615F"/>
    <w:rsid w:val="0080346E"/>
    <w:rsid w:val="00892223"/>
    <w:rsid w:val="00A9609D"/>
    <w:rsid w:val="00C37D6E"/>
    <w:rsid w:val="00D31F3E"/>
    <w:rsid w:val="00DA7AC5"/>
    <w:rsid w:val="00E01C63"/>
    <w:rsid w:val="00F33569"/>
    <w:rsid w:val="00FB727F"/>
    <w:rsid w:val="00FD6763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C699"/>
  <w15:chartTrackingRefBased/>
  <w15:docId w15:val="{ED5DCCD0-E999-472B-B328-929F9F9A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C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3</cp:revision>
  <dcterms:created xsi:type="dcterms:W3CDTF">2022-09-03T15:17:00Z</dcterms:created>
  <dcterms:modified xsi:type="dcterms:W3CDTF">2022-11-07T17:29:00Z</dcterms:modified>
</cp:coreProperties>
</file>