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3674" w14:textId="139DA50C" w:rsidR="00D83671" w:rsidRPr="00632C87" w:rsidRDefault="000250A1" w:rsidP="00436309">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0000" w:themeColor="text1"/>
          <w:kern w:val="24"/>
        </w:rPr>
      </w:pPr>
      <w:r>
        <w:rPr>
          <w:rFonts w:asciiTheme="minorHAnsi" w:eastAsiaTheme="minorEastAsia" w:hAnsiTheme="minorHAnsi" w:cstheme="minorHAnsi"/>
          <w:b/>
          <w:bCs/>
          <w:color w:val="000000" w:themeColor="text1"/>
          <w:kern w:val="24"/>
        </w:rPr>
        <w:t xml:space="preserve">C4 - </w:t>
      </w:r>
      <w:r w:rsidR="00632C87" w:rsidRPr="00632C87">
        <w:rPr>
          <w:rFonts w:asciiTheme="minorHAnsi" w:eastAsiaTheme="minorEastAsia" w:hAnsiTheme="minorHAnsi" w:cstheme="minorHAnsi"/>
          <w:b/>
          <w:bCs/>
          <w:color w:val="000000" w:themeColor="text1"/>
          <w:kern w:val="24"/>
        </w:rPr>
        <w:t xml:space="preserve">Rechnungslegung allgemeine Regeln </w:t>
      </w:r>
      <w:r w:rsidR="00632C87" w:rsidRPr="00632C87">
        <w:rPr>
          <w:rFonts w:asciiTheme="minorHAnsi" w:eastAsiaTheme="minorEastAsia" w:hAnsiTheme="minorHAnsi" w:cstheme="minorHAnsi"/>
          <w:b/>
          <w:bCs/>
          <w:color w:val="000000" w:themeColor="text1"/>
          <w:kern w:val="24"/>
        </w:rPr>
        <w:tab/>
      </w:r>
      <w:r w:rsidR="00632C87" w:rsidRPr="00632C87">
        <w:rPr>
          <w:rFonts w:asciiTheme="minorHAnsi" w:eastAsiaTheme="minorEastAsia" w:hAnsiTheme="minorHAnsi" w:cstheme="minorHAnsi"/>
          <w:b/>
          <w:bCs/>
          <w:color w:val="000000" w:themeColor="text1"/>
          <w:kern w:val="24"/>
        </w:rPr>
        <w:tab/>
      </w:r>
      <w:r w:rsidR="00632C87" w:rsidRPr="00632C87">
        <w:rPr>
          <w:rFonts w:asciiTheme="minorHAnsi" w:eastAsiaTheme="minorEastAsia" w:hAnsiTheme="minorHAnsi" w:cstheme="minorHAnsi"/>
          <w:b/>
          <w:bCs/>
          <w:color w:val="000000" w:themeColor="text1"/>
          <w:kern w:val="24"/>
        </w:rPr>
        <w:tab/>
      </w:r>
      <w:r w:rsidR="00A73594">
        <w:rPr>
          <w:rFonts w:asciiTheme="minorHAnsi" w:eastAsiaTheme="minorEastAsia" w:hAnsiTheme="minorHAnsi" w:cstheme="minorHAnsi"/>
          <w:b/>
          <w:bCs/>
          <w:color w:val="000000" w:themeColor="text1"/>
          <w:kern w:val="24"/>
        </w:rPr>
        <w:tab/>
      </w:r>
      <w:r w:rsidR="00A73594">
        <w:rPr>
          <w:rFonts w:asciiTheme="minorHAnsi" w:eastAsiaTheme="minorEastAsia" w:hAnsiTheme="minorHAnsi" w:cstheme="minorHAnsi"/>
          <w:b/>
          <w:bCs/>
          <w:color w:val="000000" w:themeColor="text1"/>
          <w:kern w:val="24"/>
        </w:rPr>
        <w:tab/>
      </w:r>
      <w:proofErr w:type="spellStart"/>
      <w:r w:rsidR="00632C87" w:rsidRPr="00632C87">
        <w:rPr>
          <w:rFonts w:asciiTheme="minorHAnsi" w:eastAsiaTheme="minorEastAsia" w:hAnsiTheme="minorHAnsi" w:cstheme="minorHAnsi"/>
          <w:b/>
          <w:bCs/>
          <w:color w:val="000000" w:themeColor="text1"/>
          <w:kern w:val="24"/>
        </w:rPr>
        <w:t>BezE</w:t>
      </w:r>
      <w:proofErr w:type="spellEnd"/>
      <w:r w:rsidR="00632C87" w:rsidRPr="00632C87">
        <w:rPr>
          <w:rFonts w:asciiTheme="minorHAnsi" w:eastAsiaTheme="minorEastAsia" w:hAnsiTheme="minorHAnsi" w:cstheme="minorHAnsi"/>
          <w:b/>
          <w:bCs/>
          <w:color w:val="000000" w:themeColor="text1"/>
          <w:kern w:val="24"/>
        </w:rPr>
        <w:t xml:space="preserve"> – 08.11.2022</w:t>
      </w:r>
    </w:p>
    <w:p w14:paraId="082334A2" w14:textId="77777777" w:rsidR="00632C87" w:rsidRDefault="00632C87" w:rsidP="00436309">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0000" w:themeColor="text1"/>
          <w:kern w:val="24"/>
          <w:sz w:val="28"/>
          <w:szCs w:val="28"/>
          <w:u w:val="single"/>
        </w:rPr>
      </w:pPr>
    </w:p>
    <w:p w14:paraId="73C0BB55" w14:textId="4B972C84" w:rsidR="00510EFE" w:rsidRPr="00632C87" w:rsidRDefault="002D04B1" w:rsidP="00AE6580">
      <w:pPr>
        <w:pStyle w:val="StandardWeb"/>
        <w:spacing w:before="0" w:beforeAutospacing="0" w:after="0" w:afterAutospacing="0"/>
        <w:rPr>
          <w:rFonts w:asciiTheme="minorHAnsi" w:eastAsiaTheme="minorEastAsia" w:hAnsiTheme="minorHAnsi" w:cstheme="minorHAnsi"/>
          <w:b/>
          <w:bCs/>
          <w:color w:val="C00000"/>
          <w:kern w:val="24"/>
          <w:sz w:val="44"/>
          <w:szCs w:val="44"/>
        </w:rPr>
      </w:pPr>
      <w:proofErr w:type="gramStart"/>
      <w:r w:rsidRPr="00632C87">
        <w:rPr>
          <w:rFonts w:asciiTheme="minorHAnsi" w:eastAsiaTheme="minorEastAsia" w:hAnsiTheme="minorHAnsi" w:cstheme="minorHAnsi"/>
          <w:b/>
          <w:bCs/>
          <w:color w:val="C00000"/>
          <w:kern w:val="24"/>
          <w:sz w:val="44"/>
          <w:szCs w:val="44"/>
        </w:rPr>
        <w:t>Rechnungslegung</w:t>
      </w:r>
      <w:r w:rsidR="00510EFE" w:rsidRPr="00632C87">
        <w:rPr>
          <w:rFonts w:asciiTheme="minorHAnsi" w:eastAsiaTheme="minorEastAsia" w:hAnsiTheme="minorHAnsi" w:cstheme="minorHAnsi"/>
          <w:b/>
          <w:bCs/>
          <w:color w:val="C00000"/>
          <w:kern w:val="24"/>
          <w:sz w:val="44"/>
          <w:szCs w:val="44"/>
        </w:rPr>
        <w:t xml:space="preserve"> </w:t>
      </w:r>
      <w:r w:rsidR="00AE6580" w:rsidRPr="00632C87">
        <w:rPr>
          <w:rFonts w:asciiTheme="minorHAnsi" w:eastAsiaTheme="minorEastAsia" w:hAnsiTheme="minorHAnsi" w:cstheme="minorHAnsi"/>
          <w:color w:val="C00000"/>
          <w:kern w:val="24"/>
          <w:sz w:val="44"/>
          <w:szCs w:val="44"/>
        </w:rPr>
        <w:t xml:space="preserve"> </w:t>
      </w:r>
      <w:proofErr w:type="spellStart"/>
      <w:r w:rsidR="00632C87">
        <w:rPr>
          <w:rFonts w:asciiTheme="minorHAnsi" w:eastAsiaTheme="minorEastAsia" w:hAnsiTheme="minorHAnsi" w:cstheme="minorHAnsi"/>
          <w:color w:val="C00000"/>
          <w:kern w:val="24"/>
          <w:sz w:val="44"/>
          <w:szCs w:val="44"/>
        </w:rPr>
        <w:t>allgem</w:t>
      </w:r>
      <w:proofErr w:type="spellEnd"/>
      <w:proofErr w:type="gramEnd"/>
      <w:r w:rsidR="00632C87">
        <w:rPr>
          <w:rFonts w:asciiTheme="minorHAnsi" w:eastAsiaTheme="minorEastAsia" w:hAnsiTheme="minorHAnsi" w:cstheme="minorHAnsi"/>
          <w:color w:val="C00000"/>
          <w:kern w:val="24"/>
          <w:sz w:val="44"/>
          <w:szCs w:val="44"/>
        </w:rPr>
        <w:t xml:space="preserve">. Regeln </w:t>
      </w:r>
      <w:r w:rsidR="00AE6580" w:rsidRPr="00632C87">
        <w:rPr>
          <w:rFonts w:asciiTheme="minorHAnsi" w:eastAsiaTheme="minorEastAsia" w:hAnsiTheme="minorHAnsi" w:cstheme="minorHAnsi"/>
          <w:color w:val="C00000"/>
          <w:kern w:val="24"/>
          <w:sz w:val="44"/>
          <w:szCs w:val="44"/>
        </w:rPr>
        <w:t xml:space="preserve">  </w:t>
      </w:r>
    </w:p>
    <w:p w14:paraId="75AD10ED" w14:textId="77777777" w:rsidR="002D04B1" w:rsidRPr="002D04B1" w:rsidRDefault="00305EBB" w:rsidP="002D04B1">
      <w:pPr>
        <w:pStyle w:val="StandardWeb"/>
        <w:spacing w:before="0" w:beforeAutospacing="0" w:after="0" w:afterAutospacing="0"/>
        <w:rPr>
          <w:rFonts w:asciiTheme="minorHAnsi" w:hAnsiTheme="minorHAnsi" w:cstheme="minorHAnsi"/>
        </w:rPr>
      </w:pPr>
      <w:r w:rsidRPr="00305EBB">
        <w:rPr>
          <w:rFonts w:eastAsiaTheme="minorEastAsia" w:hAnsi="Calibri"/>
          <w:b/>
          <w:bCs/>
          <w:color w:val="000000" w:themeColor="text1"/>
          <w:kern w:val="24"/>
        </w:rPr>
        <w:br/>
      </w:r>
      <w:r w:rsidR="002D04B1" w:rsidRPr="002D04B1">
        <w:rPr>
          <w:rFonts w:asciiTheme="minorHAnsi" w:eastAsiaTheme="minorEastAsia" w:hAnsiTheme="minorHAnsi" w:cstheme="minorHAnsi"/>
          <w:b/>
          <w:bCs/>
          <w:color w:val="000000" w:themeColor="text1"/>
          <w:kern w:val="24"/>
        </w:rPr>
        <w:t>In welchen Zeitabschnitten ist der Energieverbrauch abzurechnen?</w:t>
      </w:r>
    </w:p>
    <w:p w14:paraId="0B6F4099" w14:textId="77777777" w:rsidR="002D04B1" w:rsidRDefault="002D04B1" w:rsidP="002D04B1">
      <w:pPr>
        <w:pStyle w:val="StandardWeb"/>
        <w:spacing w:before="0" w:beforeAutospacing="0" w:after="0" w:afterAutospacing="0"/>
        <w:rPr>
          <w:rFonts w:asciiTheme="minorHAnsi" w:eastAsiaTheme="minorEastAsia" w:hAnsiTheme="minorHAnsi" w:cstheme="minorHAnsi"/>
          <w:color w:val="000000" w:themeColor="text1"/>
          <w:kern w:val="24"/>
          <w:sz w:val="22"/>
          <w:szCs w:val="22"/>
        </w:rPr>
      </w:pPr>
      <w:r w:rsidRPr="00AE6580">
        <w:rPr>
          <w:rFonts w:asciiTheme="minorHAnsi" w:eastAsiaTheme="minorEastAsia" w:hAnsiTheme="minorHAnsi" w:cstheme="minorHAnsi"/>
          <w:bCs/>
          <w:color w:val="000000" w:themeColor="text1"/>
          <w:kern w:val="24"/>
          <w:sz w:val="22"/>
          <w:szCs w:val="22"/>
        </w:rPr>
        <w:t>Gesetzliche Grundlage:</w:t>
      </w:r>
      <w:r w:rsidRPr="002D04B1">
        <w:rPr>
          <w:rFonts w:asciiTheme="minorHAnsi" w:eastAsiaTheme="minorEastAsia" w:hAnsiTheme="minorHAnsi" w:cstheme="minorHAnsi"/>
          <w:color w:val="000000" w:themeColor="text1"/>
          <w:kern w:val="24"/>
          <w:sz w:val="22"/>
          <w:szCs w:val="22"/>
        </w:rPr>
        <w:t xml:space="preserve"> § 40 Abs. 3 EnWG</w:t>
      </w:r>
    </w:p>
    <w:p w14:paraId="460DE1A8" w14:textId="77777777" w:rsidR="00AE6580" w:rsidRPr="002D04B1" w:rsidRDefault="00AE6580" w:rsidP="002D04B1">
      <w:pPr>
        <w:pStyle w:val="StandardWeb"/>
        <w:spacing w:before="0" w:beforeAutospacing="0" w:after="0" w:afterAutospacing="0"/>
        <w:rPr>
          <w:rFonts w:asciiTheme="minorHAnsi" w:hAnsiTheme="minorHAnsi" w:cstheme="minorHAnsi"/>
          <w:sz w:val="22"/>
          <w:szCs w:val="22"/>
        </w:rPr>
      </w:pPr>
    </w:p>
    <w:p w14:paraId="1D96CD17" w14:textId="77777777" w:rsidR="002D04B1" w:rsidRDefault="002D04B1" w:rsidP="002D04B1">
      <w:pPr>
        <w:pStyle w:val="StandardWeb"/>
        <w:spacing w:before="0" w:beforeAutospacing="0" w:after="0" w:afterAutospacing="0"/>
        <w:rPr>
          <w:rFonts w:asciiTheme="minorHAnsi" w:eastAsiaTheme="minorEastAsia" w:hAnsiTheme="minorHAnsi" w:cstheme="minorHAnsi"/>
          <w:color w:val="000000" w:themeColor="text1"/>
          <w:kern w:val="24"/>
          <w:sz w:val="22"/>
          <w:szCs w:val="22"/>
        </w:rPr>
      </w:pPr>
      <w:r w:rsidRPr="002D04B1">
        <w:rPr>
          <w:rFonts w:asciiTheme="minorHAnsi" w:eastAsiaTheme="minorEastAsia" w:hAnsiTheme="minorHAnsi" w:cstheme="minorHAnsi"/>
          <w:color w:val="000000" w:themeColor="text1"/>
          <w:kern w:val="24"/>
          <w:sz w:val="22"/>
          <w:szCs w:val="22"/>
        </w:rPr>
        <w:t>Lieferanten sind verpflichtet, den Energieverbrauch nach ihrer Wahl monatlich oder in anderen Zeitabschnitten, die jedoch zwölf Monate nicht wesentlich überschreiten dürfen, abzurechnen. Darüber hinaus sind Lieferanten nach § 40 Abs. 3 Satz 2 EnWG verpflichtet, Letztverbrauchern eine monatliche, viertel- oder halbjährliche Abrechnung anzubieten. Für eine Zusatzablesung kann der Energielieferant gesonderte Kosten erheben, es sei denn, der Verbrauchswert wird beim Letztverbraucher über einen intelligenten Zähler ausgelesen. In diesem Fall ist dem Letztverbraucher eine monatliche Verbrauchsinformation, die auch die Kosten widerspiegelt, kostenfrei zur Verfügung zu stellen.</w:t>
      </w:r>
    </w:p>
    <w:p w14:paraId="3D46A3C7" w14:textId="77777777" w:rsidR="002D04B1" w:rsidRPr="002D04B1" w:rsidRDefault="002D04B1" w:rsidP="002D04B1">
      <w:pPr>
        <w:pStyle w:val="StandardWeb"/>
        <w:spacing w:before="0" w:beforeAutospacing="0" w:after="0" w:afterAutospacing="0"/>
        <w:rPr>
          <w:rFonts w:asciiTheme="minorHAnsi" w:hAnsiTheme="minorHAnsi" w:cstheme="minorHAnsi"/>
          <w:sz w:val="22"/>
          <w:szCs w:val="22"/>
        </w:rPr>
      </w:pPr>
    </w:p>
    <w:p w14:paraId="5A05DA84" w14:textId="77777777" w:rsidR="002D04B1" w:rsidRPr="002D04B1" w:rsidRDefault="002D04B1" w:rsidP="002D04B1">
      <w:pPr>
        <w:pStyle w:val="StandardWeb"/>
        <w:spacing w:before="0" w:beforeAutospacing="0" w:after="0" w:afterAutospacing="0"/>
        <w:rPr>
          <w:rFonts w:asciiTheme="minorHAnsi" w:hAnsiTheme="minorHAnsi" w:cstheme="minorHAnsi"/>
        </w:rPr>
      </w:pPr>
      <w:r w:rsidRPr="002D04B1">
        <w:rPr>
          <w:rFonts w:asciiTheme="minorHAnsi" w:eastAsiaTheme="minorEastAsia" w:hAnsiTheme="minorHAnsi" w:cstheme="minorHAnsi"/>
          <w:b/>
          <w:bCs/>
          <w:color w:val="000000" w:themeColor="text1"/>
          <w:kern w:val="24"/>
        </w:rPr>
        <w:t>Innerhalb welcher Frist ist die Abrechnung durch den Lieferanten zu erstellen?</w:t>
      </w:r>
    </w:p>
    <w:p w14:paraId="2D9CCFE6" w14:textId="77777777" w:rsidR="002D04B1" w:rsidRPr="002D04B1" w:rsidRDefault="002D04B1" w:rsidP="002D04B1">
      <w:pPr>
        <w:pStyle w:val="StandardWeb"/>
        <w:spacing w:before="0" w:beforeAutospacing="0" w:after="0" w:afterAutospacing="0"/>
        <w:rPr>
          <w:rFonts w:asciiTheme="minorHAnsi" w:hAnsiTheme="minorHAnsi" w:cstheme="minorHAnsi"/>
          <w:sz w:val="22"/>
          <w:szCs w:val="22"/>
        </w:rPr>
      </w:pPr>
      <w:r w:rsidRPr="002E6A32">
        <w:rPr>
          <w:rFonts w:asciiTheme="minorHAnsi" w:eastAsiaTheme="minorEastAsia" w:hAnsiTheme="minorHAnsi" w:cstheme="minorHAnsi"/>
          <w:bCs/>
          <w:color w:val="000000" w:themeColor="text1"/>
          <w:kern w:val="24"/>
          <w:sz w:val="22"/>
          <w:szCs w:val="22"/>
        </w:rPr>
        <w:t>Gesetzliche Grundlage:</w:t>
      </w:r>
      <w:r w:rsidRPr="002E6A32">
        <w:rPr>
          <w:rFonts w:asciiTheme="minorHAnsi" w:eastAsiaTheme="minorEastAsia" w:hAnsiTheme="minorHAnsi" w:cstheme="minorHAnsi"/>
          <w:color w:val="000000" w:themeColor="text1"/>
          <w:kern w:val="24"/>
          <w:sz w:val="22"/>
          <w:szCs w:val="22"/>
        </w:rPr>
        <w:t xml:space="preserve"> § 40</w:t>
      </w:r>
      <w:r w:rsidRPr="002D04B1">
        <w:rPr>
          <w:rFonts w:asciiTheme="minorHAnsi" w:eastAsiaTheme="minorEastAsia" w:hAnsiTheme="minorHAnsi" w:cstheme="minorHAnsi"/>
          <w:color w:val="000000" w:themeColor="text1"/>
          <w:kern w:val="24"/>
          <w:sz w:val="22"/>
          <w:szCs w:val="22"/>
        </w:rPr>
        <w:t xml:space="preserve"> Abs. 4 EnWG</w:t>
      </w:r>
    </w:p>
    <w:p w14:paraId="73E06B24" w14:textId="77777777" w:rsidR="00F76D5E" w:rsidRDefault="00F76D5E" w:rsidP="002D04B1">
      <w:pPr>
        <w:pStyle w:val="StandardWeb"/>
        <w:spacing w:before="0" w:beforeAutospacing="0" w:after="0" w:afterAutospacing="0"/>
        <w:rPr>
          <w:rFonts w:asciiTheme="minorHAnsi" w:eastAsiaTheme="minorEastAsia" w:hAnsiTheme="minorHAnsi" w:cstheme="minorHAnsi"/>
          <w:color w:val="000000" w:themeColor="text1"/>
          <w:kern w:val="24"/>
          <w:sz w:val="22"/>
          <w:szCs w:val="22"/>
        </w:rPr>
      </w:pPr>
    </w:p>
    <w:p w14:paraId="037B33F3" w14:textId="77777777" w:rsidR="002D04B1" w:rsidRPr="002D04B1" w:rsidRDefault="002D04B1" w:rsidP="002D04B1">
      <w:pPr>
        <w:pStyle w:val="StandardWeb"/>
        <w:spacing w:before="0" w:beforeAutospacing="0" w:after="0" w:afterAutospacing="0"/>
        <w:rPr>
          <w:rFonts w:asciiTheme="minorHAnsi" w:hAnsiTheme="minorHAnsi" w:cstheme="minorHAnsi"/>
          <w:sz w:val="22"/>
          <w:szCs w:val="22"/>
        </w:rPr>
      </w:pPr>
      <w:r w:rsidRPr="002D04B1">
        <w:rPr>
          <w:rFonts w:asciiTheme="minorHAnsi" w:eastAsiaTheme="minorEastAsia" w:hAnsiTheme="minorHAnsi" w:cstheme="minorHAnsi"/>
          <w:color w:val="000000" w:themeColor="text1"/>
          <w:kern w:val="24"/>
          <w:sz w:val="22"/>
          <w:szCs w:val="22"/>
        </w:rPr>
        <w:t xml:space="preserve">Lieferanten müssen sicherstellen, dass der Letztverbraucher die Turnusabrechnung spätestens sechs Wochen nach Beendigung des abzurechnenden Zeitraums und die </w:t>
      </w:r>
      <w:r w:rsidRPr="002D04B1">
        <w:rPr>
          <w:rFonts w:asciiTheme="minorHAnsi" w:eastAsiaTheme="minorEastAsia" w:hAnsiTheme="minorHAnsi" w:cstheme="minorHAnsi"/>
          <w:b/>
          <w:bCs/>
          <w:color w:val="000000" w:themeColor="text1"/>
          <w:kern w:val="24"/>
          <w:sz w:val="22"/>
          <w:szCs w:val="22"/>
        </w:rPr>
        <w:t xml:space="preserve">Schlussrechnung spätestens sechs Wochen nach Beendigung des Lieferverhältnisses </w:t>
      </w:r>
      <w:r w:rsidRPr="002D04B1">
        <w:rPr>
          <w:rFonts w:asciiTheme="minorHAnsi" w:eastAsiaTheme="minorEastAsia" w:hAnsiTheme="minorHAnsi" w:cstheme="minorHAnsi"/>
          <w:color w:val="000000" w:themeColor="text1"/>
          <w:kern w:val="24"/>
          <w:sz w:val="22"/>
          <w:szCs w:val="22"/>
        </w:rPr>
        <w:t>erhält.</w:t>
      </w:r>
    </w:p>
    <w:p w14:paraId="2884AC19" w14:textId="77777777" w:rsidR="002D04B1" w:rsidRPr="002D04B1" w:rsidRDefault="002D04B1" w:rsidP="002D04B1">
      <w:pPr>
        <w:pStyle w:val="StandardWeb"/>
        <w:spacing w:before="0" w:beforeAutospacing="0" w:after="0" w:afterAutospacing="0"/>
        <w:rPr>
          <w:rFonts w:asciiTheme="minorHAnsi" w:hAnsiTheme="minorHAnsi" w:cstheme="minorHAnsi"/>
          <w:sz w:val="22"/>
          <w:szCs w:val="22"/>
        </w:rPr>
      </w:pPr>
    </w:p>
    <w:p w14:paraId="04CB051D" w14:textId="77777777" w:rsidR="002D04B1" w:rsidRPr="002E6A32" w:rsidRDefault="002D04B1" w:rsidP="002D04B1">
      <w:pPr>
        <w:pStyle w:val="StandardWeb"/>
        <w:spacing w:before="0" w:beforeAutospacing="0" w:after="0" w:afterAutospacing="0"/>
        <w:rPr>
          <w:rFonts w:asciiTheme="minorHAnsi" w:hAnsiTheme="minorHAnsi" w:cstheme="minorHAnsi"/>
        </w:rPr>
      </w:pPr>
      <w:r w:rsidRPr="002E6A32">
        <w:rPr>
          <w:rFonts w:asciiTheme="minorHAnsi" w:eastAsiaTheme="minorEastAsia" w:hAnsiTheme="minorHAnsi" w:cstheme="minorHAnsi"/>
          <w:b/>
          <w:bCs/>
          <w:color w:val="000000" w:themeColor="text1"/>
          <w:kern w:val="24"/>
        </w:rPr>
        <w:t>Wann ist die Strom- bzw. Gasrechnung fällig?</w:t>
      </w:r>
    </w:p>
    <w:p w14:paraId="7B8FEEB1" w14:textId="77777777" w:rsidR="002D04B1" w:rsidRPr="002E6A32" w:rsidRDefault="002D04B1" w:rsidP="002D04B1">
      <w:pPr>
        <w:pStyle w:val="StandardWeb"/>
        <w:spacing w:before="0" w:beforeAutospacing="0" w:after="0" w:afterAutospacing="0"/>
        <w:rPr>
          <w:rFonts w:asciiTheme="minorHAnsi" w:hAnsiTheme="minorHAnsi" w:cstheme="minorHAnsi"/>
          <w:sz w:val="22"/>
          <w:szCs w:val="22"/>
        </w:rPr>
      </w:pPr>
      <w:r w:rsidRPr="002E6A32">
        <w:rPr>
          <w:rFonts w:asciiTheme="minorHAnsi" w:eastAsiaTheme="minorEastAsia" w:hAnsiTheme="minorHAnsi" w:cstheme="minorHAnsi"/>
          <w:bCs/>
          <w:color w:val="000000" w:themeColor="text1"/>
          <w:kern w:val="24"/>
          <w:sz w:val="22"/>
          <w:szCs w:val="22"/>
        </w:rPr>
        <w:t>Gesetzliche Grundlage:</w:t>
      </w:r>
      <w:r w:rsidRPr="002E6A32">
        <w:rPr>
          <w:rFonts w:asciiTheme="minorHAnsi" w:eastAsiaTheme="minorEastAsia" w:hAnsiTheme="minorHAnsi" w:cstheme="minorHAnsi"/>
          <w:color w:val="000000" w:themeColor="text1"/>
          <w:kern w:val="24"/>
          <w:sz w:val="22"/>
          <w:szCs w:val="22"/>
        </w:rPr>
        <w:t xml:space="preserve"> §§ 17 Abs. 1 Satz 1 </w:t>
      </w:r>
      <w:proofErr w:type="spellStart"/>
      <w:r w:rsidRPr="002E6A32">
        <w:rPr>
          <w:rFonts w:asciiTheme="minorHAnsi" w:eastAsiaTheme="minorEastAsia" w:hAnsiTheme="minorHAnsi" w:cstheme="minorHAnsi"/>
          <w:color w:val="000000" w:themeColor="text1"/>
          <w:kern w:val="24"/>
          <w:sz w:val="22"/>
          <w:szCs w:val="22"/>
        </w:rPr>
        <w:t>StromGVV</w:t>
      </w:r>
      <w:proofErr w:type="spellEnd"/>
      <w:r w:rsidRPr="002E6A32">
        <w:rPr>
          <w:rFonts w:asciiTheme="minorHAnsi" w:eastAsiaTheme="minorEastAsia" w:hAnsiTheme="minorHAnsi" w:cstheme="minorHAnsi"/>
          <w:color w:val="000000" w:themeColor="text1"/>
          <w:kern w:val="24"/>
          <w:sz w:val="22"/>
          <w:szCs w:val="22"/>
        </w:rPr>
        <w:t xml:space="preserve"> und </w:t>
      </w:r>
      <w:proofErr w:type="spellStart"/>
      <w:r w:rsidRPr="002E6A32">
        <w:rPr>
          <w:rFonts w:asciiTheme="minorHAnsi" w:eastAsiaTheme="minorEastAsia" w:hAnsiTheme="minorHAnsi" w:cstheme="minorHAnsi"/>
          <w:color w:val="000000" w:themeColor="text1"/>
          <w:kern w:val="24"/>
          <w:sz w:val="22"/>
          <w:szCs w:val="22"/>
        </w:rPr>
        <w:t>GasGVV</w:t>
      </w:r>
      <w:proofErr w:type="spellEnd"/>
    </w:p>
    <w:p w14:paraId="5BC4EF3D" w14:textId="77777777" w:rsidR="00F76D5E" w:rsidRPr="002E6A32" w:rsidRDefault="00F76D5E" w:rsidP="002D04B1">
      <w:pPr>
        <w:pStyle w:val="StandardWeb"/>
        <w:spacing w:before="0" w:beforeAutospacing="0" w:after="0" w:afterAutospacing="0"/>
        <w:rPr>
          <w:rFonts w:asciiTheme="minorHAnsi" w:eastAsiaTheme="minorEastAsia" w:hAnsiTheme="minorHAnsi" w:cstheme="minorHAnsi"/>
          <w:color w:val="000000" w:themeColor="text1"/>
          <w:kern w:val="24"/>
          <w:sz w:val="22"/>
          <w:szCs w:val="22"/>
        </w:rPr>
      </w:pPr>
    </w:p>
    <w:p w14:paraId="2D1AE994" w14:textId="77777777" w:rsidR="002D04B1" w:rsidRPr="002D04B1" w:rsidRDefault="002D04B1" w:rsidP="002D04B1">
      <w:pPr>
        <w:pStyle w:val="StandardWeb"/>
        <w:spacing w:before="0" w:beforeAutospacing="0" w:after="0" w:afterAutospacing="0"/>
        <w:rPr>
          <w:rFonts w:asciiTheme="minorHAnsi" w:hAnsiTheme="minorHAnsi" w:cstheme="minorHAnsi"/>
          <w:sz w:val="22"/>
          <w:szCs w:val="22"/>
        </w:rPr>
      </w:pPr>
      <w:r w:rsidRPr="002D04B1">
        <w:rPr>
          <w:rFonts w:asciiTheme="minorHAnsi" w:eastAsiaTheme="minorEastAsia" w:hAnsiTheme="minorHAnsi" w:cstheme="minorHAnsi"/>
          <w:color w:val="000000" w:themeColor="text1"/>
          <w:kern w:val="24"/>
          <w:sz w:val="22"/>
          <w:szCs w:val="22"/>
        </w:rPr>
        <w:t xml:space="preserve">Für </w:t>
      </w:r>
      <w:r w:rsidRPr="002D04B1">
        <w:rPr>
          <w:rFonts w:asciiTheme="minorHAnsi" w:eastAsiaTheme="minorEastAsia" w:hAnsiTheme="minorHAnsi" w:cstheme="minorHAnsi"/>
          <w:b/>
          <w:bCs/>
          <w:color w:val="000000" w:themeColor="text1"/>
          <w:kern w:val="24"/>
          <w:sz w:val="22"/>
          <w:szCs w:val="22"/>
        </w:rPr>
        <w:t>Grundversorgungsverträge</w:t>
      </w:r>
      <w:r w:rsidRPr="002D04B1">
        <w:rPr>
          <w:rFonts w:asciiTheme="minorHAnsi" w:eastAsiaTheme="minorEastAsia" w:hAnsiTheme="minorHAnsi" w:cstheme="minorHAnsi"/>
          <w:color w:val="000000" w:themeColor="text1"/>
          <w:kern w:val="24"/>
          <w:sz w:val="22"/>
          <w:szCs w:val="22"/>
        </w:rPr>
        <w:t xml:space="preserve"> sind grundsätzlich die gesetzlichen Regelungen der </w:t>
      </w:r>
      <w:proofErr w:type="spellStart"/>
      <w:r w:rsidRPr="002D04B1">
        <w:rPr>
          <w:rFonts w:asciiTheme="minorHAnsi" w:eastAsiaTheme="minorEastAsia" w:hAnsiTheme="minorHAnsi" w:cstheme="minorHAnsi"/>
          <w:color w:val="000000" w:themeColor="text1"/>
          <w:kern w:val="24"/>
          <w:sz w:val="22"/>
          <w:szCs w:val="22"/>
        </w:rPr>
        <w:t>StromGVV</w:t>
      </w:r>
      <w:proofErr w:type="spellEnd"/>
      <w:r w:rsidRPr="002D04B1">
        <w:rPr>
          <w:rFonts w:asciiTheme="minorHAnsi" w:eastAsiaTheme="minorEastAsia" w:hAnsiTheme="minorHAnsi" w:cstheme="minorHAnsi"/>
          <w:color w:val="000000" w:themeColor="text1"/>
          <w:kern w:val="24"/>
          <w:sz w:val="22"/>
          <w:szCs w:val="22"/>
        </w:rPr>
        <w:t xml:space="preserve"> bzw. </w:t>
      </w:r>
      <w:proofErr w:type="spellStart"/>
      <w:r w:rsidRPr="002D04B1">
        <w:rPr>
          <w:rFonts w:asciiTheme="minorHAnsi" w:eastAsiaTheme="minorEastAsia" w:hAnsiTheme="minorHAnsi" w:cstheme="minorHAnsi"/>
          <w:color w:val="000000" w:themeColor="text1"/>
          <w:kern w:val="24"/>
          <w:sz w:val="22"/>
          <w:szCs w:val="22"/>
        </w:rPr>
        <w:t>GasGVV</w:t>
      </w:r>
      <w:proofErr w:type="spellEnd"/>
      <w:r w:rsidRPr="002D04B1">
        <w:rPr>
          <w:rFonts w:asciiTheme="minorHAnsi" w:eastAsiaTheme="minorEastAsia" w:hAnsiTheme="minorHAnsi" w:cstheme="minorHAnsi"/>
          <w:color w:val="000000" w:themeColor="text1"/>
          <w:kern w:val="24"/>
          <w:sz w:val="22"/>
          <w:szCs w:val="22"/>
        </w:rPr>
        <w:t xml:space="preserve"> zu beachten. Danach werden Rechnungen und Abschläge zu dem vom Energielieferanten angegebenen Zeitpunkt, frühestens jedoch zwei Wochen nach Zugang der Zahlungsaufforderung fällig.</w:t>
      </w:r>
    </w:p>
    <w:p w14:paraId="7C7F9440" w14:textId="77777777" w:rsidR="002D04B1" w:rsidRPr="002D04B1" w:rsidRDefault="00F76D5E" w:rsidP="002D04B1">
      <w:pPr>
        <w:pStyle w:val="StandardWeb"/>
        <w:spacing w:before="0" w:beforeAutospacing="0" w:after="0" w:afterAutospacing="0"/>
        <w:rPr>
          <w:rFonts w:asciiTheme="minorHAnsi" w:hAnsiTheme="minorHAnsi" w:cstheme="minorHAnsi"/>
          <w:sz w:val="22"/>
          <w:szCs w:val="22"/>
        </w:rPr>
      </w:pPr>
      <w:r w:rsidRPr="002D04B1">
        <w:rPr>
          <w:rFonts w:asciiTheme="minorHAnsi" w:eastAsiaTheme="minorEastAsia" w:hAnsiTheme="minorHAnsi" w:cstheme="minorHAnsi"/>
          <w:color w:val="000000" w:themeColor="text1"/>
          <w:kern w:val="24"/>
          <w:sz w:val="22"/>
          <w:szCs w:val="22"/>
        </w:rPr>
        <w:t xml:space="preserve">bei </w:t>
      </w:r>
      <w:r w:rsidRPr="002D04B1">
        <w:rPr>
          <w:rFonts w:asciiTheme="minorHAnsi" w:eastAsiaTheme="minorEastAsia" w:hAnsiTheme="minorHAnsi" w:cstheme="minorHAnsi"/>
          <w:b/>
          <w:bCs/>
          <w:color w:val="000000" w:themeColor="text1"/>
          <w:kern w:val="24"/>
          <w:sz w:val="22"/>
          <w:szCs w:val="22"/>
        </w:rPr>
        <w:t>Energielieferverträgen außerhalb der Grundversorgung</w:t>
      </w:r>
      <w:r w:rsidRPr="002D04B1">
        <w:rPr>
          <w:rFonts w:asciiTheme="minorHAnsi" w:eastAsiaTheme="minorEastAsia" w:hAnsiTheme="minorHAnsi" w:cstheme="minorHAnsi"/>
          <w:color w:val="000000" w:themeColor="text1"/>
          <w:kern w:val="24"/>
          <w:sz w:val="22"/>
          <w:szCs w:val="22"/>
        </w:rPr>
        <w:t xml:space="preserve"> </w:t>
      </w:r>
      <w:r w:rsidR="002E6A32">
        <w:rPr>
          <w:rFonts w:asciiTheme="minorHAnsi" w:eastAsiaTheme="minorEastAsia" w:hAnsiTheme="minorHAnsi" w:cstheme="minorHAnsi"/>
          <w:color w:val="000000" w:themeColor="text1"/>
          <w:kern w:val="24"/>
          <w:sz w:val="22"/>
          <w:szCs w:val="22"/>
        </w:rPr>
        <w:t>richtet</w:t>
      </w:r>
      <w:r>
        <w:rPr>
          <w:rFonts w:asciiTheme="minorHAnsi" w:eastAsiaTheme="minorEastAsia" w:hAnsiTheme="minorHAnsi" w:cstheme="minorHAnsi"/>
          <w:color w:val="000000" w:themeColor="text1"/>
          <w:kern w:val="24"/>
          <w:sz w:val="22"/>
          <w:szCs w:val="22"/>
        </w:rPr>
        <w:t xml:space="preserve"> </w:t>
      </w:r>
      <w:r w:rsidR="002E6A32">
        <w:rPr>
          <w:rFonts w:asciiTheme="minorHAnsi" w:eastAsiaTheme="minorEastAsia" w:hAnsiTheme="minorHAnsi" w:cstheme="minorHAnsi"/>
          <w:color w:val="000000" w:themeColor="text1"/>
          <w:kern w:val="24"/>
          <w:sz w:val="22"/>
          <w:szCs w:val="22"/>
        </w:rPr>
        <w:t xml:space="preserve">sich </w:t>
      </w:r>
      <w:r>
        <w:rPr>
          <w:rFonts w:asciiTheme="minorHAnsi" w:eastAsiaTheme="minorEastAsia" w:hAnsiTheme="minorHAnsi" w:cstheme="minorHAnsi"/>
          <w:color w:val="000000" w:themeColor="text1"/>
          <w:kern w:val="24"/>
          <w:sz w:val="22"/>
          <w:szCs w:val="22"/>
        </w:rPr>
        <w:t>d</w:t>
      </w:r>
      <w:r w:rsidR="002D04B1" w:rsidRPr="002D04B1">
        <w:rPr>
          <w:rFonts w:asciiTheme="minorHAnsi" w:eastAsiaTheme="minorEastAsia" w:hAnsiTheme="minorHAnsi" w:cstheme="minorHAnsi"/>
          <w:color w:val="000000" w:themeColor="text1"/>
          <w:kern w:val="24"/>
          <w:sz w:val="22"/>
          <w:szCs w:val="22"/>
        </w:rPr>
        <w:t>ie Fälligkeit für die Zahlung von Strom- bzw. Gasrechnungen nach den Regelungen des Vertrages.</w:t>
      </w:r>
    </w:p>
    <w:p w14:paraId="45675203" w14:textId="77777777" w:rsidR="00AE6580" w:rsidRDefault="00AE6580" w:rsidP="00AE6580">
      <w:pPr>
        <w:pStyle w:val="Standard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p>
    <w:p w14:paraId="27C2132F" w14:textId="77777777" w:rsidR="00AE6580" w:rsidRPr="00AE6580" w:rsidRDefault="00AE6580" w:rsidP="00AE6580">
      <w:pPr>
        <w:pStyle w:val="StandardWeb"/>
        <w:spacing w:before="0" w:beforeAutospacing="0" w:after="0" w:afterAutospacing="0"/>
        <w:textAlignment w:val="baseline"/>
        <w:rPr>
          <w:rFonts w:asciiTheme="minorHAnsi" w:hAnsiTheme="minorHAnsi" w:cstheme="minorHAnsi"/>
        </w:rPr>
      </w:pPr>
      <w:r w:rsidRPr="00AE6580">
        <w:rPr>
          <w:rFonts w:asciiTheme="minorHAnsi" w:hAnsiTheme="minorHAnsi" w:cstheme="minorHAnsi"/>
          <w:b/>
          <w:bCs/>
          <w:color w:val="000000"/>
          <w:kern w:val="24"/>
        </w:rPr>
        <w:t>Wann sind Einwände gegen die Energierechnung möglich?</w:t>
      </w:r>
    </w:p>
    <w:p w14:paraId="5B66C099" w14:textId="77777777" w:rsidR="00AE6580" w:rsidRDefault="00AE6580" w:rsidP="00AE6580">
      <w:pPr>
        <w:pStyle w:val="StandardWeb"/>
        <w:kinsoku w:val="0"/>
        <w:overflowPunct w:val="0"/>
        <w:spacing w:before="0" w:beforeAutospacing="0" w:after="0" w:afterAutospacing="0"/>
        <w:textAlignment w:val="baseline"/>
        <w:rPr>
          <w:rFonts w:asciiTheme="minorHAnsi" w:hAnsiTheme="minorHAnsi" w:cstheme="minorHAnsi"/>
          <w:color w:val="000000"/>
          <w:kern w:val="24"/>
          <w:sz w:val="22"/>
          <w:szCs w:val="22"/>
        </w:rPr>
      </w:pPr>
      <w:r w:rsidRPr="00AE6580">
        <w:rPr>
          <w:rFonts w:asciiTheme="minorHAnsi" w:hAnsiTheme="minorHAnsi" w:cstheme="minorHAnsi"/>
          <w:bCs/>
          <w:color w:val="000000"/>
          <w:kern w:val="24"/>
          <w:sz w:val="22"/>
          <w:szCs w:val="22"/>
        </w:rPr>
        <w:t>Gesetzliche Grundlage:</w:t>
      </w:r>
      <w:r w:rsidRPr="00AE6580">
        <w:rPr>
          <w:rFonts w:asciiTheme="minorHAnsi" w:hAnsiTheme="minorHAnsi" w:cstheme="minorHAnsi"/>
          <w:color w:val="000000"/>
          <w:kern w:val="24"/>
          <w:sz w:val="22"/>
          <w:szCs w:val="22"/>
        </w:rPr>
        <w:t xml:space="preserve"> §§ 17 Abs. 1 Satz 1 </w:t>
      </w:r>
      <w:proofErr w:type="spellStart"/>
      <w:r w:rsidRPr="00AE6580">
        <w:rPr>
          <w:rFonts w:asciiTheme="minorHAnsi" w:hAnsiTheme="minorHAnsi" w:cstheme="minorHAnsi"/>
          <w:color w:val="000000"/>
          <w:kern w:val="24"/>
          <w:sz w:val="22"/>
          <w:szCs w:val="22"/>
        </w:rPr>
        <w:t>StromGVV</w:t>
      </w:r>
      <w:proofErr w:type="spellEnd"/>
      <w:r w:rsidRPr="00AE6580">
        <w:rPr>
          <w:rFonts w:asciiTheme="minorHAnsi" w:hAnsiTheme="minorHAnsi" w:cstheme="minorHAnsi"/>
          <w:color w:val="000000"/>
          <w:kern w:val="24"/>
          <w:sz w:val="22"/>
          <w:szCs w:val="22"/>
        </w:rPr>
        <w:t xml:space="preserve"> und </w:t>
      </w:r>
      <w:proofErr w:type="spellStart"/>
      <w:r w:rsidRPr="00AE6580">
        <w:rPr>
          <w:rFonts w:asciiTheme="minorHAnsi" w:hAnsiTheme="minorHAnsi" w:cstheme="minorHAnsi"/>
          <w:color w:val="000000"/>
          <w:kern w:val="24"/>
          <w:sz w:val="22"/>
          <w:szCs w:val="22"/>
        </w:rPr>
        <w:t>GasGVV</w:t>
      </w:r>
      <w:proofErr w:type="spellEnd"/>
    </w:p>
    <w:p w14:paraId="0FF79536" w14:textId="77777777" w:rsidR="00AE6580" w:rsidRDefault="00AE6580" w:rsidP="00AE6580">
      <w:pPr>
        <w:pStyle w:val="StandardWeb"/>
        <w:kinsoku w:val="0"/>
        <w:overflowPunct w:val="0"/>
        <w:spacing w:before="0" w:beforeAutospacing="0" w:after="0" w:afterAutospacing="0"/>
        <w:textAlignment w:val="baseline"/>
        <w:rPr>
          <w:rFonts w:asciiTheme="minorHAnsi" w:hAnsiTheme="minorHAnsi" w:cstheme="minorHAnsi"/>
          <w:color w:val="000000"/>
          <w:kern w:val="24"/>
          <w:sz w:val="22"/>
          <w:szCs w:val="22"/>
        </w:rPr>
      </w:pPr>
    </w:p>
    <w:p w14:paraId="2823F41D" w14:textId="77777777" w:rsidR="00AE6580" w:rsidRPr="00AE6580" w:rsidRDefault="00AE6580" w:rsidP="00AE6580">
      <w:pPr>
        <w:kinsoku w:val="0"/>
        <w:overflowPunct w:val="0"/>
        <w:textAlignment w:val="baseline"/>
        <w:rPr>
          <w:rFonts w:cstheme="minorHAnsi"/>
        </w:rPr>
      </w:pPr>
      <w:r w:rsidRPr="00AE6580">
        <w:rPr>
          <w:rFonts w:cstheme="minorHAnsi"/>
          <w:color w:val="000000"/>
          <w:kern w:val="24"/>
          <w:u w:val="single"/>
        </w:rPr>
        <w:t>1. Grundversorger:</w:t>
      </w:r>
      <w:r w:rsidRPr="00AE6580">
        <w:rPr>
          <w:rFonts w:cstheme="minorHAnsi"/>
          <w:color w:val="000000"/>
          <w:kern w:val="24"/>
        </w:rPr>
        <w:br/>
        <w:t>Der Kunde ist berechtigt, Einwände gegen Rechnungen und Abschlagsberechnungen gegenüber dem Grundversorger geltend zu machen, die zum Zahlungsaufschub oder zur Zahlungsverweigerung nur berechtigen,</w:t>
      </w:r>
      <w:r w:rsidRPr="00AE6580">
        <w:rPr>
          <w:rFonts w:cstheme="minorHAnsi"/>
          <w:color w:val="000000"/>
          <w:kern w:val="24"/>
        </w:rPr>
        <w:br/>
        <w:t xml:space="preserve"> -  soweit die ernsthafte Möglichkeit eines offensichtlichen Fehlers besteht oder</w:t>
      </w:r>
      <w:r w:rsidRPr="00AE6580">
        <w:rPr>
          <w:rFonts w:cstheme="minorHAnsi"/>
          <w:color w:val="000000"/>
          <w:kern w:val="24"/>
        </w:rPr>
        <w:br/>
        <w:t xml:space="preserve"> -  sofern der in der Rechnung angegebene Verbrauch ohne ersichtlichen Grund mehr als doppelt so </w:t>
      </w:r>
      <w:r>
        <w:rPr>
          <w:rFonts w:cstheme="minorHAnsi"/>
          <w:color w:val="000000"/>
          <w:kern w:val="24"/>
        </w:rPr>
        <w:br/>
        <w:t xml:space="preserve">     </w:t>
      </w:r>
      <w:r w:rsidRPr="00AE6580">
        <w:rPr>
          <w:rFonts w:cstheme="minorHAnsi"/>
          <w:color w:val="000000"/>
          <w:kern w:val="24"/>
        </w:rPr>
        <w:t xml:space="preserve">hoch wie der vergleichbare Verbrauch im vorherigen Abrechnungszeitraum ist und der Kunde eine </w:t>
      </w:r>
      <w:r>
        <w:rPr>
          <w:rFonts w:cstheme="minorHAnsi"/>
          <w:color w:val="000000"/>
          <w:kern w:val="24"/>
        </w:rPr>
        <w:br/>
        <w:t xml:space="preserve">     </w:t>
      </w:r>
      <w:r w:rsidRPr="00AE6580">
        <w:rPr>
          <w:rFonts w:cstheme="minorHAnsi"/>
          <w:color w:val="000000"/>
          <w:kern w:val="24"/>
        </w:rPr>
        <w:t>Nachprüfung der Messeinrichtung verlangt.</w:t>
      </w:r>
    </w:p>
    <w:p w14:paraId="0658B88E" w14:textId="77777777" w:rsidR="00AE6580" w:rsidRPr="00AE6580" w:rsidRDefault="00AE6580" w:rsidP="00AE6580">
      <w:pPr>
        <w:pStyle w:val="StandardWeb"/>
        <w:kinsoku w:val="0"/>
        <w:overflowPunct w:val="0"/>
        <w:spacing w:before="0" w:beforeAutospacing="0" w:after="0" w:afterAutospacing="0"/>
        <w:textAlignment w:val="baseline"/>
        <w:rPr>
          <w:rFonts w:asciiTheme="minorHAnsi" w:hAnsiTheme="minorHAnsi" w:cstheme="minorHAnsi"/>
          <w:sz w:val="22"/>
          <w:szCs w:val="22"/>
        </w:rPr>
      </w:pPr>
      <w:r w:rsidRPr="00AE6580">
        <w:rPr>
          <w:rFonts w:asciiTheme="minorHAnsi" w:eastAsiaTheme="minorEastAsia" w:hAnsiTheme="minorHAnsi" w:cstheme="minorHAnsi"/>
          <w:color w:val="000000" w:themeColor="text1"/>
          <w:kern w:val="24"/>
          <w:sz w:val="22"/>
          <w:szCs w:val="22"/>
          <w:u w:val="single"/>
        </w:rPr>
        <w:t>2. Energielieferant</w:t>
      </w:r>
      <w:r w:rsidRPr="00AE6580">
        <w:rPr>
          <w:rFonts w:asciiTheme="minorHAnsi" w:eastAsiaTheme="minorEastAsia" w:hAnsiTheme="minorHAnsi" w:cstheme="minorHAnsi"/>
          <w:color w:val="000000" w:themeColor="text1"/>
          <w:kern w:val="24"/>
          <w:sz w:val="22"/>
          <w:szCs w:val="22"/>
        </w:rPr>
        <w:t xml:space="preserve"> (Versorger</w:t>
      </w:r>
      <w:r w:rsidRPr="00AE6580">
        <w:rPr>
          <w:rFonts w:asciiTheme="minorHAnsi" w:hAnsiTheme="minorHAnsi" w:cstheme="minorHAnsi"/>
          <w:color w:val="000000"/>
          <w:kern w:val="24"/>
          <w:sz w:val="22"/>
          <w:szCs w:val="22"/>
        </w:rPr>
        <w:t xml:space="preserve"> außerhalb der Grundversorgung</w:t>
      </w:r>
      <w:r>
        <w:rPr>
          <w:rFonts w:asciiTheme="minorHAnsi" w:hAnsiTheme="minorHAnsi" w:cstheme="minorHAnsi"/>
          <w:color w:val="000000"/>
          <w:kern w:val="24"/>
          <w:sz w:val="22"/>
          <w:szCs w:val="22"/>
        </w:rPr>
        <w:t>)</w:t>
      </w:r>
      <w:r w:rsidRPr="00AE6580">
        <w:rPr>
          <w:rFonts w:asciiTheme="minorHAnsi" w:hAnsiTheme="minorHAnsi" w:cstheme="minorHAnsi"/>
          <w:color w:val="000000"/>
          <w:kern w:val="24"/>
          <w:sz w:val="22"/>
          <w:szCs w:val="22"/>
        </w:rPr>
        <w:t>:</w:t>
      </w:r>
    </w:p>
    <w:p w14:paraId="14ACE606" w14:textId="77777777" w:rsidR="00AE6580" w:rsidRPr="00AE6580" w:rsidRDefault="00AE6580" w:rsidP="00AE6580">
      <w:pPr>
        <w:pStyle w:val="StandardWeb"/>
        <w:kinsoku w:val="0"/>
        <w:overflowPunct w:val="0"/>
        <w:spacing w:before="0" w:beforeAutospacing="0" w:after="0" w:afterAutospacing="0"/>
        <w:textAlignment w:val="baseline"/>
        <w:rPr>
          <w:rFonts w:asciiTheme="minorHAnsi" w:hAnsiTheme="minorHAnsi" w:cstheme="minorHAnsi"/>
          <w:sz w:val="22"/>
          <w:szCs w:val="22"/>
        </w:rPr>
      </w:pPr>
      <w:r w:rsidRPr="00AE6580">
        <w:rPr>
          <w:rFonts w:asciiTheme="minorHAnsi" w:hAnsiTheme="minorHAnsi" w:cstheme="minorHAnsi"/>
          <w:color w:val="000000"/>
          <w:kern w:val="24"/>
          <w:sz w:val="22"/>
          <w:szCs w:val="22"/>
        </w:rPr>
        <w:t xml:space="preserve">    Für Verträge außerhalb der Grundversorgung sind die Regelungen des Vertrages zu beachten.</w:t>
      </w:r>
    </w:p>
    <w:p w14:paraId="48011DC4" w14:textId="77777777" w:rsidR="002D04B1" w:rsidRPr="00AE6580" w:rsidRDefault="002D04B1" w:rsidP="002D04B1">
      <w:pPr>
        <w:pStyle w:val="StandardWeb"/>
        <w:spacing w:before="0" w:beforeAutospacing="0" w:after="0" w:afterAutospacing="0"/>
        <w:rPr>
          <w:rFonts w:asciiTheme="minorHAnsi" w:hAnsiTheme="minorHAnsi" w:cstheme="minorHAnsi"/>
          <w:sz w:val="22"/>
          <w:szCs w:val="22"/>
        </w:rPr>
      </w:pPr>
    </w:p>
    <w:p w14:paraId="6DDFBAC6" w14:textId="77777777" w:rsidR="00562FCF" w:rsidRPr="00562FCF" w:rsidRDefault="00562FCF" w:rsidP="00562FCF">
      <w:pPr>
        <w:pStyle w:val="StandardWeb"/>
        <w:spacing w:before="0" w:beforeAutospacing="0" w:after="0" w:afterAutospacing="0"/>
        <w:textAlignment w:val="baseline"/>
        <w:rPr>
          <w:rFonts w:asciiTheme="minorHAnsi" w:hAnsiTheme="minorHAnsi" w:cstheme="minorHAnsi"/>
        </w:rPr>
      </w:pPr>
      <w:r w:rsidRPr="00562FCF">
        <w:rPr>
          <w:rFonts w:asciiTheme="minorHAnsi" w:hAnsiTheme="minorHAnsi" w:cstheme="minorHAnsi"/>
          <w:b/>
          <w:bCs/>
          <w:color w:val="000000"/>
          <w:kern w:val="24"/>
        </w:rPr>
        <w:t>Welche Informationen muss die Energierechnung enthalten?</w:t>
      </w:r>
    </w:p>
    <w:p w14:paraId="3B0D1E37" w14:textId="77777777" w:rsidR="00562FCF" w:rsidRDefault="00562FCF" w:rsidP="00562FCF">
      <w:pPr>
        <w:pStyle w:val="StandardWeb"/>
        <w:kinsoku w:val="0"/>
        <w:overflowPunct w:val="0"/>
        <w:spacing w:before="0" w:beforeAutospacing="0" w:after="0" w:afterAutospacing="0"/>
        <w:textAlignment w:val="baseline"/>
        <w:rPr>
          <w:rFonts w:asciiTheme="minorHAnsi" w:hAnsiTheme="minorHAnsi" w:cstheme="minorHAnsi"/>
          <w:color w:val="000000"/>
          <w:kern w:val="24"/>
          <w:sz w:val="22"/>
          <w:szCs w:val="22"/>
        </w:rPr>
      </w:pPr>
      <w:r w:rsidRPr="00562FCF">
        <w:rPr>
          <w:rFonts w:asciiTheme="minorHAnsi" w:hAnsiTheme="minorHAnsi" w:cstheme="minorHAnsi"/>
          <w:bCs/>
          <w:color w:val="000000"/>
          <w:kern w:val="24"/>
          <w:sz w:val="22"/>
          <w:szCs w:val="22"/>
        </w:rPr>
        <w:t>Gesetzliche Grundlage:</w:t>
      </w:r>
      <w:r w:rsidRPr="00562FCF">
        <w:rPr>
          <w:rFonts w:asciiTheme="minorHAnsi" w:hAnsiTheme="minorHAnsi" w:cstheme="minorHAnsi"/>
          <w:color w:val="000000"/>
          <w:kern w:val="24"/>
          <w:sz w:val="22"/>
          <w:szCs w:val="22"/>
        </w:rPr>
        <w:t xml:space="preserve"> § 40 und § 42 EnWG</w:t>
      </w:r>
    </w:p>
    <w:p w14:paraId="014CE732" w14:textId="77777777" w:rsidR="00562FCF" w:rsidRPr="00562FCF" w:rsidRDefault="00562FCF" w:rsidP="00562FCF">
      <w:pPr>
        <w:pStyle w:val="StandardWeb"/>
        <w:kinsoku w:val="0"/>
        <w:overflowPunct w:val="0"/>
        <w:spacing w:before="0" w:beforeAutospacing="0" w:after="0" w:afterAutospacing="0"/>
        <w:textAlignment w:val="baseline"/>
        <w:rPr>
          <w:rFonts w:asciiTheme="minorHAnsi" w:hAnsiTheme="minorHAnsi" w:cstheme="minorHAnsi"/>
          <w:sz w:val="22"/>
          <w:szCs w:val="22"/>
        </w:rPr>
      </w:pPr>
    </w:p>
    <w:p w14:paraId="7E4E1A04" w14:textId="77777777" w:rsidR="00562FCF" w:rsidRPr="00572947" w:rsidRDefault="00562FCF" w:rsidP="00562FCF">
      <w:pPr>
        <w:pStyle w:val="StandardWeb"/>
        <w:kinsoku w:val="0"/>
        <w:overflowPunct w:val="0"/>
        <w:spacing w:before="0" w:beforeAutospacing="0" w:after="0" w:afterAutospacing="0"/>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 xml:space="preserve">Rechnungen für Energielieferungen an Letztverbraucher müssen einfach und verständlich sein. </w:t>
      </w:r>
    </w:p>
    <w:p w14:paraId="1548F5C8" w14:textId="77777777" w:rsidR="00562FCF" w:rsidRPr="00572947" w:rsidRDefault="00562FCF" w:rsidP="00562FCF">
      <w:pPr>
        <w:pStyle w:val="StandardWeb"/>
        <w:kinsoku w:val="0"/>
        <w:overflowPunct w:val="0"/>
        <w:spacing w:before="0" w:beforeAutospacing="0" w:after="0" w:afterAutospacing="0"/>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 xml:space="preserve">Die für die Forderung maßgeblichen Berechnungsfaktoren sind unter Verwendung standardisierter Begriffe und Definitionen vollständig und in allgemein verständlicher Form auszuweisen, § 40 Abs. 1 EnWG </w:t>
      </w:r>
      <w:proofErr w:type="spellStart"/>
      <w:r w:rsidRPr="00572947">
        <w:rPr>
          <w:rFonts w:asciiTheme="minorHAnsi" w:hAnsiTheme="minorHAnsi" w:cstheme="minorHAnsi"/>
          <w:color w:val="000000"/>
          <w:kern w:val="24"/>
          <w:sz w:val="22"/>
          <w:szCs w:val="22"/>
        </w:rPr>
        <w:t>i.V.m</w:t>
      </w:r>
      <w:proofErr w:type="spellEnd"/>
      <w:r w:rsidRPr="00572947">
        <w:rPr>
          <w:rFonts w:asciiTheme="minorHAnsi" w:hAnsiTheme="minorHAnsi" w:cstheme="minorHAnsi"/>
          <w:color w:val="000000"/>
          <w:kern w:val="24"/>
          <w:sz w:val="22"/>
          <w:szCs w:val="22"/>
        </w:rPr>
        <w:t>. § 40 Abs. 6 EnWG.</w:t>
      </w:r>
    </w:p>
    <w:p w14:paraId="2B09AF15" w14:textId="77777777" w:rsidR="00562FCF" w:rsidRPr="00572947" w:rsidRDefault="00562FCF" w:rsidP="00562FCF">
      <w:pPr>
        <w:pStyle w:val="StandardWeb"/>
        <w:kinsoku w:val="0"/>
        <w:overflowPunct w:val="0"/>
        <w:spacing w:before="0" w:beforeAutospacing="0" w:after="0" w:afterAutospacing="0"/>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Die Energieabrechnungen haben nach § 40 Abs. 2 EnWG insbesondere folgende gesetzlichen Mindestinhalte zu enthalten:</w:t>
      </w:r>
    </w:p>
    <w:p w14:paraId="2D8E7FAA" w14:textId="77777777" w:rsidR="00562FCF" w:rsidRPr="00572947" w:rsidRDefault="00562FCF" w:rsidP="00562FCF">
      <w:pPr>
        <w:pStyle w:val="Listenabsatz"/>
        <w:numPr>
          <w:ilvl w:val="0"/>
          <w:numId w:val="3"/>
        </w:numPr>
        <w:kinsoku w:val="0"/>
        <w:overflowPunct w:val="0"/>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den Namen und die ladungsfähige Anschrift des Lieferanten, das zuständige Registergericht</w:t>
      </w:r>
      <w:r w:rsidRPr="00572947">
        <w:rPr>
          <w:rFonts w:asciiTheme="minorHAnsi" w:hAnsiTheme="minorHAnsi" w:cstheme="minorHAnsi"/>
          <w:color w:val="000000"/>
          <w:kern w:val="24"/>
          <w:sz w:val="22"/>
          <w:szCs w:val="22"/>
        </w:rPr>
        <w:br/>
        <w:t>sowie die Telefonnummer und E-Mailadresse des Lieferanten,</w:t>
      </w:r>
    </w:p>
    <w:p w14:paraId="4EC457BA" w14:textId="77777777" w:rsidR="00562FCF" w:rsidRPr="00572947" w:rsidRDefault="00562FCF" w:rsidP="00562FCF">
      <w:pPr>
        <w:pStyle w:val="Listenabsatz"/>
        <w:numPr>
          <w:ilvl w:val="0"/>
          <w:numId w:val="3"/>
        </w:numPr>
        <w:kinsoku w:val="0"/>
        <w:overflowPunct w:val="0"/>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 xml:space="preserve">die Vertragsdauer, die geltenden Preise, den nächstmöglichen Kündigungstermin und die </w:t>
      </w:r>
      <w:r w:rsidRPr="00572947">
        <w:rPr>
          <w:rFonts w:asciiTheme="minorHAnsi" w:hAnsiTheme="minorHAnsi" w:cstheme="minorHAnsi"/>
          <w:color w:val="000000"/>
          <w:kern w:val="24"/>
          <w:sz w:val="22"/>
          <w:szCs w:val="22"/>
        </w:rPr>
        <w:br/>
        <w:t>Kündigungsfrist,</w:t>
      </w:r>
    </w:p>
    <w:p w14:paraId="5D665289" w14:textId="77777777" w:rsidR="00562FCF" w:rsidRPr="00572947" w:rsidRDefault="00562FCF" w:rsidP="00562FCF">
      <w:pPr>
        <w:pStyle w:val="Listenabsatz"/>
        <w:numPr>
          <w:ilvl w:val="0"/>
          <w:numId w:val="3"/>
        </w:numPr>
        <w:kinsoku w:val="0"/>
        <w:overflowPunct w:val="0"/>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 xml:space="preserve">die für die Belieferung maßgebliche Zählpunktbezeichnung und die Codenummer des </w:t>
      </w:r>
      <w:r w:rsidRPr="00572947">
        <w:rPr>
          <w:rFonts w:asciiTheme="minorHAnsi" w:hAnsiTheme="minorHAnsi" w:cstheme="minorHAnsi"/>
          <w:color w:val="000000"/>
          <w:kern w:val="24"/>
          <w:sz w:val="22"/>
          <w:szCs w:val="22"/>
        </w:rPr>
        <w:br/>
        <w:t>Netzbetreibers,</w:t>
      </w:r>
    </w:p>
    <w:p w14:paraId="3979350D" w14:textId="77777777" w:rsidR="00562FCF" w:rsidRPr="00572947" w:rsidRDefault="00562FCF" w:rsidP="00562FCF">
      <w:pPr>
        <w:pStyle w:val="Listenabsatz"/>
        <w:numPr>
          <w:ilvl w:val="0"/>
          <w:numId w:val="3"/>
        </w:numPr>
        <w:kinsoku w:val="0"/>
        <w:overflowPunct w:val="0"/>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 xml:space="preserve">den ermittelten Verbrauch im Abrechnungszeitraum und bei Haushaltskunden den Anfangs- </w:t>
      </w:r>
      <w:r w:rsidRPr="00572947">
        <w:rPr>
          <w:rFonts w:asciiTheme="minorHAnsi" w:hAnsiTheme="minorHAnsi" w:cstheme="minorHAnsi"/>
          <w:color w:val="000000"/>
          <w:kern w:val="24"/>
          <w:sz w:val="22"/>
          <w:szCs w:val="22"/>
        </w:rPr>
        <w:br/>
        <w:t>und den Endzählerstand des abgerechneten Zeitraums</w:t>
      </w:r>
    </w:p>
    <w:p w14:paraId="79F5010C" w14:textId="77777777" w:rsidR="00562FCF" w:rsidRPr="00572947" w:rsidRDefault="00562FCF" w:rsidP="00562FCF">
      <w:pPr>
        <w:pStyle w:val="Listenabsatz"/>
        <w:numPr>
          <w:ilvl w:val="0"/>
          <w:numId w:val="4"/>
        </w:numPr>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den Verbrauch des vergleichbaren Vorjahreszeitraums (Wenn der Lieferant den Letztverbraucher im Vorjahreszeitraum nicht beliefert hat, ist der vormalige Lieferant verpflichtet, den Verbrauch des vergleichbaren Vorjahreszeitraums dem neuen Lieferanten mitzuteilen. Soweit der Lieferant aus Gründen, die er nicht zu vertreten hat, den Verbrauch nicht ermitteln kann, ist der geschätzte Verbrauch anzugeben.)</w:t>
      </w:r>
    </w:p>
    <w:p w14:paraId="47361495" w14:textId="77777777" w:rsidR="00562FCF" w:rsidRPr="00572947" w:rsidRDefault="00562FCF" w:rsidP="00562FCF">
      <w:pPr>
        <w:pStyle w:val="Listenabsatz"/>
        <w:numPr>
          <w:ilvl w:val="0"/>
          <w:numId w:val="4"/>
        </w:numPr>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bei Haushaltskunden eine grafische Darstellung, wie sich der eigene Jahresverbrauch zu dem Jahresverbrauch von Vergleichskundengruppen verhält,</w:t>
      </w:r>
    </w:p>
    <w:p w14:paraId="00C06F46" w14:textId="77777777" w:rsidR="00562FCF" w:rsidRPr="00572947" w:rsidRDefault="00562FCF" w:rsidP="00562FCF">
      <w:pPr>
        <w:pStyle w:val="Listenabsatz"/>
        <w:numPr>
          <w:ilvl w:val="0"/>
          <w:numId w:val="4"/>
        </w:numPr>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die Belastungen aus der Konzessionsabgabe und aus den Netzentgelten für Letztverbraucher und gegebenenfalls darin enthaltene Entgelte für den Messstellenbetrieb und die Messung beim jeweiligen Letztverbraucher sowie</w:t>
      </w:r>
    </w:p>
    <w:p w14:paraId="71798D6B" w14:textId="77777777" w:rsidR="00562FCF" w:rsidRPr="00572947" w:rsidRDefault="00562FCF" w:rsidP="00562FCF">
      <w:pPr>
        <w:pStyle w:val="Listenabsatz"/>
        <w:numPr>
          <w:ilvl w:val="0"/>
          <w:numId w:val="4"/>
        </w:numPr>
        <w:textAlignment w:val="baseline"/>
        <w:rPr>
          <w:rFonts w:asciiTheme="minorHAnsi" w:hAnsiTheme="minorHAnsi" w:cstheme="minorHAnsi"/>
          <w:sz w:val="22"/>
          <w:szCs w:val="22"/>
        </w:rPr>
      </w:pPr>
      <w:r w:rsidRPr="00572947">
        <w:rPr>
          <w:rFonts w:asciiTheme="minorHAnsi" w:hAnsiTheme="minorHAnsi" w:cstheme="minorHAnsi"/>
          <w:color w:val="000000"/>
          <w:kern w:val="24"/>
          <w:sz w:val="22"/>
          <w:szCs w:val="22"/>
        </w:rPr>
        <w:t>Informationen über die Rechte der Haushaltskunden im Hinblick auf Streitbeilegungs-verfahren, die ihnen im Streitfall zur Verfügung stehen, einschließlich der für Verbraucher-beschwerden nach § 111b EnWG zuständigen Schlichtungsstelle und deren Anschrift sowie die Kontaktadresse des Verbraucherservice der Bundesnetzagentur.</w:t>
      </w:r>
    </w:p>
    <w:p w14:paraId="5F333C87" w14:textId="77777777" w:rsidR="00562FCF" w:rsidRPr="00572947" w:rsidRDefault="00562FCF" w:rsidP="00562FCF">
      <w:pPr>
        <w:kinsoku w:val="0"/>
        <w:overflowPunct w:val="0"/>
        <w:ind w:left="283"/>
        <w:textAlignment w:val="baseline"/>
        <w:rPr>
          <w:rFonts w:cstheme="minorHAnsi"/>
        </w:rPr>
      </w:pPr>
    </w:p>
    <w:p w14:paraId="4BA5F9C2" w14:textId="77777777" w:rsidR="00562FCF" w:rsidRPr="00562FCF" w:rsidRDefault="00562FCF" w:rsidP="00562FCF">
      <w:pPr>
        <w:kinsoku w:val="0"/>
        <w:overflowPunct w:val="0"/>
        <w:ind w:left="283"/>
        <w:textAlignment w:val="baseline"/>
        <w:rPr>
          <w:rFonts w:cstheme="minorHAnsi"/>
        </w:rPr>
      </w:pPr>
      <w:r w:rsidRPr="00572947">
        <w:rPr>
          <w:rFonts w:cstheme="minorHAnsi"/>
        </w:rPr>
        <w:t xml:space="preserve">Darüber hinaus müssen alle </w:t>
      </w:r>
      <w:r w:rsidRPr="00572947">
        <w:rPr>
          <w:rFonts w:cstheme="minorHAnsi"/>
          <w:b/>
          <w:bCs/>
        </w:rPr>
        <w:t>Stromlieferanten</w:t>
      </w:r>
      <w:r w:rsidRPr="00572947">
        <w:rPr>
          <w:rFonts w:cstheme="minorHAnsi"/>
        </w:rPr>
        <w:t xml:space="preserve"> die Bestimmungen gemäß § 42 EnWG zur </w:t>
      </w:r>
      <w:r w:rsidRPr="00572947">
        <w:rPr>
          <w:rFonts w:cstheme="minorHAnsi"/>
        </w:rPr>
        <w:br/>
        <w:t>Stromkennzeichnung und Transparenz der Stromrechnung erfüllen. Das heißt Rechnungen oder Anlagen zu Rechnungen sowie Werbematerial für den Verkauf von Strom haben folgende Informationen zu enthalten</w:t>
      </w:r>
      <w:r w:rsidRPr="00562FCF">
        <w:rPr>
          <w:rFonts w:cstheme="minorHAnsi"/>
        </w:rPr>
        <w:t xml:space="preserve">: </w:t>
      </w:r>
    </w:p>
    <w:p w14:paraId="396B64D7" w14:textId="77777777" w:rsidR="006A7F99" w:rsidRPr="00562FCF" w:rsidRDefault="00572947" w:rsidP="00562FCF">
      <w:pPr>
        <w:numPr>
          <w:ilvl w:val="0"/>
          <w:numId w:val="5"/>
        </w:numPr>
        <w:kinsoku w:val="0"/>
        <w:overflowPunct w:val="0"/>
        <w:textAlignment w:val="baseline"/>
        <w:rPr>
          <w:rFonts w:cstheme="minorHAnsi"/>
        </w:rPr>
      </w:pPr>
      <w:r w:rsidRPr="00562FCF">
        <w:rPr>
          <w:rFonts w:cstheme="minorHAnsi"/>
        </w:rPr>
        <w:t xml:space="preserve">   Anteil der einzelnen Energieträger (Kernkraft, Kohle, Erdgas und sonstige fossile Energie-</w:t>
      </w:r>
      <w:r w:rsidRPr="00562FCF">
        <w:rPr>
          <w:rFonts w:cstheme="minorHAnsi"/>
        </w:rPr>
        <w:br/>
        <w:t xml:space="preserve">   </w:t>
      </w:r>
      <w:proofErr w:type="spellStart"/>
      <w:r w:rsidRPr="00562FCF">
        <w:rPr>
          <w:rFonts w:cstheme="minorHAnsi"/>
        </w:rPr>
        <w:t>träger</w:t>
      </w:r>
      <w:proofErr w:type="spellEnd"/>
      <w:r w:rsidRPr="00562FCF">
        <w:rPr>
          <w:rFonts w:cstheme="minorHAnsi"/>
        </w:rPr>
        <w:t>, erneuerbare Energien, gefördert  nach dem EEG, sonstige erneuerbare Energien) an</w:t>
      </w:r>
      <w:r w:rsidRPr="00562FCF">
        <w:rPr>
          <w:rFonts w:cstheme="minorHAnsi"/>
        </w:rPr>
        <w:br/>
        <w:t xml:space="preserve">   dem Gesamtenergieträgermix und Durchschnittswerte für Deutschland </w:t>
      </w:r>
    </w:p>
    <w:p w14:paraId="68084C04" w14:textId="77777777" w:rsidR="006A7F99" w:rsidRPr="00562FCF" w:rsidRDefault="00572947" w:rsidP="00562FCF">
      <w:pPr>
        <w:numPr>
          <w:ilvl w:val="0"/>
          <w:numId w:val="5"/>
        </w:numPr>
        <w:kinsoku w:val="0"/>
        <w:overflowPunct w:val="0"/>
        <w:textAlignment w:val="baseline"/>
        <w:rPr>
          <w:rFonts w:cstheme="minorHAnsi"/>
        </w:rPr>
      </w:pPr>
      <w:r w:rsidRPr="00562FCF">
        <w:rPr>
          <w:rFonts w:cstheme="minorHAnsi"/>
        </w:rPr>
        <w:t xml:space="preserve">   Umweltauswirkungen in Bezug auf Kohlendioxidemissionen (CO2-Emissionen) und radio-</w:t>
      </w:r>
      <w:r w:rsidRPr="00562FCF">
        <w:rPr>
          <w:rFonts w:cstheme="minorHAnsi"/>
        </w:rPr>
        <w:br/>
        <w:t xml:space="preserve">   aktiven Abfall, die durch den gewählten Energieträgermix entstehen und </w:t>
      </w:r>
      <w:r w:rsidR="00562FCF">
        <w:rPr>
          <w:rFonts w:cstheme="minorHAnsi"/>
        </w:rPr>
        <w:t xml:space="preserve">  </w:t>
      </w:r>
      <w:r w:rsidR="00562FCF">
        <w:rPr>
          <w:rFonts w:cstheme="minorHAnsi"/>
        </w:rPr>
        <w:br/>
        <w:t xml:space="preserve">   </w:t>
      </w:r>
      <w:r w:rsidRPr="00562FCF">
        <w:rPr>
          <w:rFonts w:cstheme="minorHAnsi"/>
        </w:rPr>
        <w:t>Durchschnittswerte für Deutschland</w:t>
      </w:r>
    </w:p>
    <w:p w14:paraId="21593356" w14:textId="77777777" w:rsidR="006A7F99" w:rsidRPr="00562FCF" w:rsidRDefault="00572947" w:rsidP="00562FCF">
      <w:pPr>
        <w:numPr>
          <w:ilvl w:val="0"/>
          <w:numId w:val="5"/>
        </w:numPr>
        <w:kinsoku w:val="0"/>
        <w:overflowPunct w:val="0"/>
        <w:textAlignment w:val="baseline"/>
        <w:rPr>
          <w:rFonts w:cstheme="minorHAnsi"/>
        </w:rPr>
      </w:pPr>
      <w:r w:rsidRPr="00562FCF">
        <w:rPr>
          <w:rFonts w:cstheme="minorHAnsi"/>
        </w:rPr>
        <w:t xml:space="preserve">   Kennzeichnung des an Börsen oder außerhalb der EU gekauften Stroms (Angabe zu </w:t>
      </w:r>
      <w:r w:rsidRPr="00562FCF">
        <w:rPr>
          <w:rFonts w:cstheme="minorHAnsi"/>
        </w:rPr>
        <w:br/>
        <w:t xml:space="preserve">   Energieträgermix) </w:t>
      </w:r>
    </w:p>
    <w:p w14:paraId="761323B6" w14:textId="77777777" w:rsidR="00FE5166" w:rsidRDefault="00562FCF" w:rsidP="00FE5166">
      <w:pPr>
        <w:spacing w:before="100" w:beforeAutospacing="1" w:after="100" w:afterAutospacing="1" w:line="240" w:lineRule="auto"/>
        <w:rPr>
          <w:rFonts w:ascii="Times New Roman" w:eastAsia="Times New Roman" w:hAnsi="Times New Roman" w:cs="Times New Roman"/>
          <w:sz w:val="24"/>
          <w:szCs w:val="24"/>
          <w:lang w:eastAsia="de-DE"/>
        </w:rPr>
      </w:pPr>
      <w:r w:rsidRPr="00562FCF">
        <w:rPr>
          <w:rFonts w:cstheme="minorHAnsi"/>
        </w:rPr>
        <w:t xml:space="preserve">Dagegen müssen </w:t>
      </w:r>
      <w:r w:rsidRPr="00562FCF">
        <w:rPr>
          <w:rFonts w:cstheme="minorHAnsi"/>
          <w:b/>
          <w:bCs/>
        </w:rPr>
        <w:t>Gaslieferanten</w:t>
      </w:r>
      <w:r w:rsidRPr="00562FCF">
        <w:rPr>
          <w:rFonts w:cstheme="minorHAnsi"/>
        </w:rPr>
        <w:t xml:space="preserve"> keine Kennzeichnung der Gasherkunft auf der Gasrechnung vornehmen</w:t>
      </w:r>
      <w:r w:rsidR="00FE5166" w:rsidRPr="00FE5166">
        <w:rPr>
          <w:rFonts w:ascii="Times New Roman" w:eastAsia="Times New Roman" w:hAnsi="Times New Roman" w:cs="Times New Roman"/>
          <w:sz w:val="24"/>
          <w:szCs w:val="24"/>
          <w:lang w:eastAsia="de-DE"/>
        </w:rPr>
        <w:t xml:space="preserve"> </w:t>
      </w:r>
    </w:p>
    <w:p w14:paraId="574DE32B" w14:textId="77777777" w:rsidR="00FE5166" w:rsidRPr="00FE5166" w:rsidRDefault="00FE5166" w:rsidP="00FE5166">
      <w:pPr>
        <w:spacing w:before="100" w:beforeAutospacing="1" w:after="100" w:afterAutospacing="1" w:line="240" w:lineRule="auto"/>
        <w:rPr>
          <w:rFonts w:eastAsia="Times New Roman" w:cstheme="minorHAnsi"/>
          <w:lang w:eastAsia="de-DE"/>
        </w:rPr>
      </w:pPr>
      <w:r w:rsidRPr="00FE5166">
        <w:rPr>
          <w:rFonts w:eastAsia="Times New Roman" w:cstheme="minorHAnsi"/>
          <w:lang w:eastAsia="de-DE"/>
        </w:rPr>
        <w:t>Allgemeine Tipps:</w:t>
      </w:r>
    </w:p>
    <w:p w14:paraId="6210D1BE" w14:textId="77777777" w:rsidR="00FE5166" w:rsidRPr="00FE5166" w:rsidRDefault="00FE5166" w:rsidP="00FE5166">
      <w:pPr>
        <w:numPr>
          <w:ilvl w:val="0"/>
          <w:numId w:val="6"/>
        </w:numPr>
        <w:spacing w:before="100" w:beforeAutospacing="1" w:after="0" w:afterAutospacing="1" w:line="240" w:lineRule="auto"/>
        <w:rPr>
          <w:rFonts w:eastAsia="Times New Roman" w:cstheme="minorHAnsi"/>
          <w:lang w:eastAsia="de-DE"/>
        </w:rPr>
      </w:pPr>
      <w:r w:rsidRPr="00FE5166">
        <w:rPr>
          <w:rFonts w:eastAsia="Times New Roman" w:cstheme="minorHAnsi"/>
          <w:b/>
          <w:bCs/>
          <w:lang w:eastAsia="de-DE"/>
        </w:rPr>
        <w:lastRenderedPageBreak/>
        <w:t>Rechnung anmahnen.</w:t>
      </w:r>
      <w:r w:rsidRPr="00FE5166">
        <w:rPr>
          <w:rFonts w:eastAsia="Times New Roman" w:cstheme="minorHAnsi"/>
          <w:lang w:eastAsia="de-DE"/>
        </w:rPr>
        <w:t xml:space="preserve"> Wenn die Rechnung für Gas oder Strom nicht pünktlich kommt, sollten Verbraucher diese beim Versorger anmahnen. Das geht zum Beispiel kostenlos per E-Mail, oder per Einschreiben.</w:t>
      </w:r>
      <w:r w:rsidRPr="00FE5166">
        <w:rPr>
          <w:rFonts w:eastAsia="Times New Roman" w:cstheme="minorHAnsi"/>
          <w:lang w:eastAsia="de-DE"/>
        </w:rPr>
        <w:br/>
      </w:r>
    </w:p>
    <w:p w14:paraId="3A4B6028" w14:textId="77777777" w:rsidR="00FE5166" w:rsidRPr="00FE5166" w:rsidRDefault="00FE5166" w:rsidP="00FE5166">
      <w:pPr>
        <w:numPr>
          <w:ilvl w:val="0"/>
          <w:numId w:val="6"/>
        </w:numPr>
        <w:spacing w:before="100" w:beforeAutospacing="1" w:after="0" w:afterAutospacing="1" w:line="240" w:lineRule="auto"/>
        <w:rPr>
          <w:rFonts w:eastAsia="Times New Roman" w:cstheme="minorHAnsi"/>
          <w:lang w:eastAsia="de-DE"/>
        </w:rPr>
      </w:pPr>
      <w:r w:rsidRPr="00FE5166">
        <w:rPr>
          <w:rFonts w:eastAsia="Times New Roman" w:cstheme="minorHAnsi"/>
          <w:b/>
          <w:bCs/>
          <w:lang w:eastAsia="de-DE"/>
        </w:rPr>
        <w:t>Bei Lastschrift Anpassung und Verrechnung verlangen.</w:t>
      </w:r>
      <w:r w:rsidRPr="00FE5166">
        <w:rPr>
          <w:rFonts w:eastAsia="Times New Roman" w:cstheme="minorHAnsi"/>
          <w:lang w:eastAsia="de-DE"/>
        </w:rPr>
        <w:t xml:space="preserve"> </w:t>
      </w:r>
      <w:r w:rsidRPr="00FE5166">
        <w:rPr>
          <w:rFonts w:eastAsia="Times New Roman" w:cstheme="minorHAnsi"/>
          <w:lang w:eastAsia="de-DE"/>
        </w:rPr>
        <w:br/>
        <w:t xml:space="preserve">a. Erhalt einer Zwischenabrechnung: Stellen sie fest, dass per Lastschriftverfahren </w:t>
      </w:r>
      <w:r w:rsidRPr="00FE5166">
        <w:rPr>
          <w:rFonts w:eastAsia="Times New Roman" w:cstheme="minorHAnsi"/>
          <w:lang w:eastAsia="de-DE"/>
        </w:rPr>
        <w:br/>
        <w:t xml:space="preserve">    bereits zu hohe Abschläge abgebucht wurden, können sie die Verrechnung und eine </w:t>
      </w:r>
      <w:r w:rsidRPr="00FE5166">
        <w:rPr>
          <w:rFonts w:eastAsia="Times New Roman" w:cstheme="minorHAnsi"/>
          <w:lang w:eastAsia="de-DE"/>
        </w:rPr>
        <w:br/>
        <w:t xml:space="preserve">    Anpassung der künftigen regelmäßigen Zahlungen verlangen. </w:t>
      </w:r>
      <w:r w:rsidRPr="00FE5166">
        <w:rPr>
          <w:rFonts w:eastAsia="Times New Roman" w:cstheme="minorHAnsi"/>
          <w:lang w:eastAsia="de-DE"/>
        </w:rPr>
        <w:br/>
        <w:t xml:space="preserve">    Dieser Aufwand lohnt sich allerdings nur bei einem größeren Unterschied zwischen </w:t>
      </w:r>
      <w:r w:rsidRPr="00FE5166">
        <w:rPr>
          <w:rFonts w:eastAsia="Times New Roman" w:cstheme="minorHAnsi"/>
          <w:lang w:eastAsia="de-DE"/>
        </w:rPr>
        <w:br/>
        <w:t xml:space="preserve">    altem und neuem Abschlag.</w:t>
      </w:r>
      <w:r w:rsidRPr="00FE5166">
        <w:rPr>
          <w:rFonts w:eastAsia="Times New Roman" w:cstheme="minorHAnsi"/>
          <w:lang w:eastAsia="de-DE"/>
        </w:rPr>
        <w:br/>
        <w:t xml:space="preserve">b. Erhalt der Endabrechnung: Verbrauch, Kosten und Bonusverrechnung prüfen. </w:t>
      </w:r>
      <w:r w:rsidRPr="00FE5166">
        <w:rPr>
          <w:rFonts w:eastAsia="Times New Roman" w:cstheme="minorHAnsi"/>
          <w:lang w:eastAsia="de-DE"/>
        </w:rPr>
        <w:br/>
        <w:t xml:space="preserve">    Kontoauszug auf ev. unberechtigt weiterlaufende Lastschriftabbuchungen prüfen.</w:t>
      </w:r>
      <w:r w:rsidRPr="00FE5166">
        <w:rPr>
          <w:rFonts w:eastAsia="Times New Roman" w:cstheme="minorHAnsi"/>
          <w:lang w:eastAsia="de-DE"/>
        </w:rPr>
        <w:br/>
        <w:t xml:space="preserve">    Wenn ja, bei der Bank Berechtigung stoppen und Rückbuchung veranlassen.   </w:t>
      </w:r>
      <w:r w:rsidRPr="00FE5166">
        <w:rPr>
          <w:rFonts w:eastAsia="Times New Roman" w:cstheme="minorHAnsi"/>
          <w:lang w:eastAsia="de-DE"/>
        </w:rPr>
        <w:br/>
      </w:r>
    </w:p>
    <w:p w14:paraId="78B4BB37" w14:textId="77777777" w:rsidR="00FE5166" w:rsidRPr="00FE5166" w:rsidRDefault="00FE5166" w:rsidP="00FE5166">
      <w:pPr>
        <w:numPr>
          <w:ilvl w:val="0"/>
          <w:numId w:val="6"/>
        </w:numPr>
        <w:spacing w:before="100" w:beforeAutospacing="1" w:after="0" w:afterAutospacing="1" w:line="240" w:lineRule="auto"/>
        <w:rPr>
          <w:rFonts w:eastAsia="Times New Roman" w:cstheme="minorHAnsi"/>
          <w:lang w:eastAsia="de-DE"/>
        </w:rPr>
      </w:pPr>
      <w:r w:rsidRPr="00FE5166">
        <w:rPr>
          <w:rFonts w:eastAsia="Times New Roman" w:cstheme="minorHAnsi"/>
          <w:b/>
          <w:bCs/>
          <w:lang w:eastAsia="de-DE"/>
        </w:rPr>
        <w:t>Guthaben sofort einfordern.</w:t>
      </w:r>
      <w:r w:rsidRPr="00FE5166">
        <w:rPr>
          <w:rFonts w:eastAsia="Times New Roman" w:cstheme="minorHAnsi"/>
          <w:lang w:eastAsia="de-DE"/>
        </w:rPr>
        <w:t xml:space="preserve"> Weist die Rechnung ein Guthaben aus, sollte dieses immer ausgezahlt werden. Wenn nicht, verlangen Sie die sofortige Erstattung, wenn </w:t>
      </w:r>
      <w:r w:rsidRPr="00FE5166">
        <w:rPr>
          <w:rFonts w:eastAsia="Times New Roman" w:cstheme="minorHAnsi"/>
          <w:lang w:eastAsia="de-DE"/>
        </w:rPr>
        <w:br/>
        <w:t>das Guthaben nicht spätestens mit dem ersten Abschlag verrechnet wird.</w:t>
      </w:r>
      <w:r w:rsidRPr="00FE5166">
        <w:rPr>
          <w:rFonts w:eastAsia="Times New Roman" w:cstheme="minorHAnsi"/>
          <w:lang w:eastAsia="de-DE"/>
        </w:rPr>
        <w:br/>
      </w:r>
    </w:p>
    <w:p w14:paraId="487F2145" w14:textId="77777777" w:rsidR="00FE5166" w:rsidRPr="00FE5166" w:rsidRDefault="00FE5166" w:rsidP="00FE5166">
      <w:pPr>
        <w:numPr>
          <w:ilvl w:val="0"/>
          <w:numId w:val="6"/>
        </w:numPr>
        <w:spacing w:before="100" w:beforeAutospacing="1" w:after="100" w:afterAutospacing="1" w:line="240" w:lineRule="auto"/>
        <w:rPr>
          <w:rFonts w:eastAsia="Times New Roman" w:cstheme="minorHAnsi"/>
          <w:lang w:eastAsia="de-DE"/>
        </w:rPr>
      </w:pPr>
      <w:r w:rsidRPr="00FE5166">
        <w:rPr>
          <w:rFonts w:eastAsia="Times New Roman" w:cstheme="minorHAnsi"/>
          <w:b/>
          <w:bCs/>
          <w:lang w:eastAsia="de-DE"/>
        </w:rPr>
        <w:t>Informieren Sie uns.</w:t>
      </w:r>
      <w:r w:rsidRPr="00FE5166">
        <w:rPr>
          <w:rFonts w:eastAsia="Times New Roman" w:cstheme="minorHAnsi"/>
          <w:lang w:eastAsia="de-DE"/>
        </w:rPr>
        <w:t xml:space="preserve"> Damit wir:</w:t>
      </w:r>
      <w:r w:rsidRPr="00FE5166">
        <w:rPr>
          <w:rFonts w:eastAsia="Times New Roman" w:cstheme="minorHAnsi"/>
          <w:lang w:eastAsia="de-DE"/>
        </w:rPr>
        <w:br/>
      </w:r>
      <w:r w:rsidRPr="00FE5166">
        <w:rPr>
          <w:rFonts w:eastAsia="Times New Roman" w:cstheme="minorHAnsi"/>
          <w:lang w:eastAsia="de-DE"/>
        </w:rPr>
        <w:sym w:font="Wingdings" w:char="F0E0"/>
      </w:r>
      <w:r w:rsidRPr="00FE5166">
        <w:rPr>
          <w:rFonts w:eastAsia="Times New Roman" w:cstheme="minorHAnsi"/>
          <w:lang w:eastAsia="de-DE"/>
        </w:rPr>
        <w:t xml:space="preserve"> rechtliche Schritte gegen den säumigen Energieversorger einleiten können. </w:t>
      </w:r>
      <w:r w:rsidRPr="00FE5166">
        <w:rPr>
          <w:rFonts w:eastAsia="Times New Roman" w:cstheme="minorHAnsi"/>
          <w:lang w:eastAsia="de-DE"/>
        </w:rPr>
        <w:br/>
        <w:t xml:space="preserve">     (Unterlassungsklage)</w:t>
      </w:r>
      <w:r w:rsidRPr="00FE5166">
        <w:rPr>
          <w:rFonts w:eastAsia="Times New Roman" w:cstheme="minorHAnsi"/>
          <w:lang w:eastAsia="de-DE"/>
        </w:rPr>
        <w:br/>
      </w:r>
      <w:r w:rsidRPr="00FE5166">
        <w:rPr>
          <w:rFonts w:eastAsia="Times New Roman" w:cstheme="minorHAnsi"/>
          <w:lang w:eastAsia="de-DE"/>
        </w:rPr>
        <w:sym w:font="Wingdings" w:char="F0E0"/>
      </w:r>
      <w:r w:rsidRPr="00FE5166">
        <w:rPr>
          <w:rFonts w:eastAsia="Times New Roman" w:cstheme="minorHAnsi"/>
          <w:lang w:eastAsia="de-DE"/>
        </w:rPr>
        <w:t xml:space="preserve"> wenn mehrere Kunden schlechte Erfahrungen mit einem Energieversorger melden, </w:t>
      </w:r>
      <w:r w:rsidRPr="00FE5166">
        <w:rPr>
          <w:rFonts w:eastAsia="Times New Roman" w:cstheme="minorHAnsi"/>
          <w:lang w:eastAsia="de-DE"/>
        </w:rPr>
        <w:br/>
        <w:t xml:space="preserve">     wir Ihn auf unsere Blacklist setzen und Ihn nicht mehr empfehlen.</w:t>
      </w:r>
    </w:p>
    <w:p w14:paraId="502C2A4F" w14:textId="77777777" w:rsidR="00562FCF" w:rsidRPr="00FE5166" w:rsidRDefault="00562FCF" w:rsidP="00562FCF">
      <w:pPr>
        <w:kinsoku w:val="0"/>
        <w:overflowPunct w:val="0"/>
        <w:ind w:left="283"/>
        <w:textAlignment w:val="baseline"/>
        <w:rPr>
          <w:rFonts w:cstheme="minorHAnsi"/>
        </w:rPr>
      </w:pPr>
    </w:p>
    <w:p w14:paraId="495FF529" w14:textId="77777777" w:rsidR="000F5FDD" w:rsidRPr="00FE5166" w:rsidRDefault="000F5FDD" w:rsidP="000F5FDD">
      <w:pPr>
        <w:pStyle w:val="StandardWeb"/>
        <w:spacing w:before="0" w:beforeAutospacing="0" w:after="0" w:afterAutospacing="0"/>
        <w:textAlignment w:val="baseline"/>
        <w:rPr>
          <w:rFonts w:asciiTheme="minorHAnsi" w:eastAsia="+mn-ea" w:hAnsiTheme="minorHAnsi" w:cstheme="minorHAnsi"/>
          <w:b/>
          <w:bCs/>
          <w:color w:val="000000"/>
          <w:kern w:val="24"/>
          <w:sz w:val="22"/>
          <w:szCs w:val="22"/>
        </w:rPr>
      </w:pPr>
    </w:p>
    <w:p w14:paraId="014D0548" w14:textId="77777777" w:rsidR="000F5FDD" w:rsidRPr="00FE5166" w:rsidRDefault="000F5FDD" w:rsidP="000F5FDD">
      <w:pPr>
        <w:pStyle w:val="StandardWeb"/>
        <w:spacing w:before="0" w:beforeAutospacing="0" w:after="0" w:afterAutospacing="0"/>
        <w:textAlignment w:val="baseline"/>
        <w:rPr>
          <w:rFonts w:asciiTheme="minorHAnsi" w:eastAsia="+mn-ea" w:hAnsiTheme="minorHAnsi" w:cstheme="minorHAnsi"/>
          <w:b/>
          <w:bCs/>
          <w:color w:val="000000"/>
          <w:kern w:val="24"/>
          <w:sz w:val="22"/>
          <w:szCs w:val="22"/>
        </w:rPr>
      </w:pPr>
    </w:p>
    <w:sectPr w:rsidR="000F5FDD" w:rsidRPr="00FE5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8E3"/>
    <w:multiLevelType w:val="hybridMultilevel"/>
    <w:tmpl w:val="49EEB738"/>
    <w:lvl w:ilvl="0" w:tplc="8454FB54">
      <w:start w:val="5"/>
      <w:numFmt w:val="decimal"/>
      <w:lvlText w:val="%1."/>
      <w:lvlJc w:val="left"/>
      <w:pPr>
        <w:tabs>
          <w:tab w:val="num" w:pos="720"/>
        </w:tabs>
        <w:ind w:left="720" w:hanging="360"/>
      </w:pPr>
    </w:lvl>
    <w:lvl w:ilvl="1" w:tplc="778EDCBC" w:tentative="1">
      <w:start w:val="1"/>
      <w:numFmt w:val="decimal"/>
      <w:lvlText w:val="%2."/>
      <w:lvlJc w:val="left"/>
      <w:pPr>
        <w:tabs>
          <w:tab w:val="num" w:pos="1440"/>
        </w:tabs>
        <w:ind w:left="1440" w:hanging="360"/>
      </w:pPr>
    </w:lvl>
    <w:lvl w:ilvl="2" w:tplc="D3B66612" w:tentative="1">
      <w:start w:val="1"/>
      <w:numFmt w:val="decimal"/>
      <w:lvlText w:val="%3."/>
      <w:lvlJc w:val="left"/>
      <w:pPr>
        <w:tabs>
          <w:tab w:val="num" w:pos="2160"/>
        </w:tabs>
        <w:ind w:left="2160" w:hanging="360"/>
      </w:pPr>
    </w:lvl>
    <w:lvl w:ilvl="3" w:tplc="5E3EC866" w:tentative="1">
      <w:start w:val="1"/>
      <w:numFmt w:val="decimal"/>
      <w:lvlText w:val="%4."/>
      <w:lvlJc w:val="left"/>
      <w:pPr>
        <w:tabs>
          <w:tab w:val="num" w:pos="2880"/>
        </w:tabs>
        <w:ind w:left="2880" w:hanging="360"/>
      </w:pPr>
    </w:lvl>
    <w:lvl w:ilvl="4" w:tplc="9E6281A2" w:tentative="1">
      <w:start w:val="1"/>
      <w:numFmt w:val="decimal"/>
      <w:lvlText w:val="%5."/>
      <w:lvlJc w:val="left"/>
      <w:pPr>
        <w:tabs>
          <w:tab w:val="num" w:pos="3600"/>
        </w:tabs>
        <w:ind w:left="3600" w:hanging="360"/>
      </w:pPr>
    </w:lvl>
    <w:lvl w:ilvl="5" w:tplc="9BEEA8FE" w:tentative="1">
      <w:start w:val="1"/>
      <w:numFmt w:val="decimal"/>
      <w:lvlText w:val="%6."/>
      <w:lvlJc w:val="left"/>
      <w:pPr>
        <w:tabs>
          <w:tab w:val="num" w:pos="4320"/>
        </w:tabs>
        <w:ind w:left="4320" w:hanging="360"/>
      </w:pPr>
    </w:lvl>
    <w:lvl w:ilvl="6" w:tplc="BF944710" w:tentative="1">
      <w:start w:val="1"/>
      <w:numFmt w:val="decimal"/>
      <w:lvlText w:val="%7."/>
      <w:lvlJc w:val="left"/>
      <w:pPr>
        <w:tabs>
          <w:tab w:val="num" w:pos="5040"/>
        </w:tabs>
        <w:ind w:left="5040" w:hanging="360"/>
      </w:pPr>
    </w:lvl>
    <w:lvl w:ilvl="7" w:tplc="880A919C" w:tentative="1">
      <w:start w:val="1"/>
      <w:numFmt w:val="decimal"/>
      <w:lvlText w:val="%8."/>
      <w:lvlJc w:val="left"/>
      <w:pPr>
        <w:tabs>
          <w:tab w:val="num" w:pos="5760"/>
        </w:tabs>
        <w:ind w:left="5760" w:hanging="360"/>
      </w:pPr>
    </w:lvl>
    <w:lvl w:ilvl="8" w:tplc="89A88E06" w:tentative="1">
      <w:start w:val="1"/>
      <w:numFmt w:val="decimal"/>
      <w:lvlText w:val="%9."/>
      <w:lvlJc w:val="left"/>
      <w:pPr>
        <w:tabs>
          <w:tab w:val="num" w:pos="6480"/>
        </w:tabs>
        <w:ind w:left="6480" w:hanging="360"/>
      </w:pPr>
    </w:lvl>
  </w:abstractNum>
  <w:abstractNum w:abstractNumId="1" w15:restartNumberingAfterBreak="0">
    <w:nsid w:val="21574D2D"/>
    <w:multiLevelType w:val="hybridMultilevel"/>
    <w:tmpl w:val="1F58DC40"/>
    <w:lvl w:ilvl="0" w:tplc="3F86522A">
      <w:start w:val="1"/>
      <w:numFmt w:val="decimal"/>
      <w:lvlText w:val="%1."/>
      <w:lvlJc w:val="left"/>
      <w:pPr>
        <w:tabs>
          <w:tab w:val="num" w:pos="643"/>
        </w:tabs>
        <w:ind w:left="643" w:hanging="360"/>
      </w:pPr>
    </w:lvl>
    <w:lvl w:ilvl="1" w:tplc="75A25A22" w:tentative="1">
      <w:start w:val="1"/>
      <w:numFmt w:val="decimal"/>
      <w:lvlText w:val="%2."/>
      <w:lvlJc w:val="left"/>
      <w:pPr>
        <w:tabs>
          <w:tab w:val="num" w:pos="1440"/>
        </w:tabs>
        <w:ind w:left="1440" w:hanging="360"/>
      </w:pPr>
    </w:lvl>
    <w:lvl w:ilvl="2" w:tplc="647419DA" w:tentative="1">
      <w:start w:val="1"/>
      <w:numFmt w:val="decimal"/>
      <w:lvlText w:val="%3."/>
      <w:lvlJc w:val="left"/>
      <w:pPr>
        <w:tabs>
          <w:tab w:val="num" w:pos="2160"/>
        </w:tabs>
        <w:ind w:left="2160" w:hanging="360"/>
      </w:pPr>
    </w:lvl>
    <w:lvl w:ilvl="3" w:tplc="2DAA5616" w:tentative="1">
      <w:start w:val="1"/>
      <w:numFmt w:val="decimal"/>
      <w:lvlText w:val="%4."/>
      <w:lvlJc w:val="left"/>
      <w:pPr>
        <w:tabs>
          <w:tab w:val="num" w:pos="2880"/>
        </w:tabs>
        <w:ind w:left="2880" w:hanging="360"/>
      </w:pPr>
    </w:lvl>
    <w:lvl w:ilvl="4" w:tplc="DC9CE340" w:tentative="1">
      <w:start w:val="1"/>
      <w:numFmt w:val="decimal"/>
      <w:lvlText w:val="%5."/>
      <w:lvlJc w:val="left"/>
      <w:pPr>
        <w:tabs>
          <w:tab w:val="num" w:pos="3600"/>
        </w:tabs>
        <w:ind w:left="3600" w:hanging="360"/>
      </w:pPr>
    </w:lvl>
    <w:lvl w:ilvl="5" w:tplc="8C0C394C" w:tentative="1">
      <w:start w:val="1"/>
      <w:numFmt w:val="decimal"/>
      <w:lvlText w:val="%6."/>
      <w:lvlJc w:val="left"/>
      <w:pPr>
        <w:tabs>
          <w:tab w:val="num" w:pos="4320"/>
        </w:tabs>
        <w:ind w:left="4320" w:hanging="360"/>
      </w:pPr>
    </w:lvl>
    <w:lvl w:ilvl="6" w:tplc="A3EACE8C" w:tentative="1">
      <w:start w:val="1"/>
      <w:numFmt w:val="decimal"/>
      <w:lvlText w:val="%7."/>
      <w:lvlJc w:val="left"/>
      <w:pPr>
        <w:tabs>
          <w:tab w:val="num" w:pos="5040"/>
        </w:tabs>
        <w:ind w:left="5040" w:hanging="360"/>
      </w:pPr>
    </w:lvl>
    <w:lvl w:ilvl="7" w:tplc="64D0FAFE" w:tentative="1">
      <w:start w:val="1"/>
      <w:numFmt w:val="decimal"/>
      <w:lvlText w:val="%8."/>
      <w:lvlJc w:val="left"/>
      <w:pPr>
        <w:tabs>
          <w:tab w:val="num" w:pos="5760"/>
        </w:tabs>
        <w:ind w:left="5760" w:hanging="360"/>
      </w:pPr>
    </w:lvl>
    <w:lvl w:ilvl="8" w:tplc="8F02E5F4" w:tentative="1">
      <w:start w:val="1"/>
      <w:numFmt w:val="decimal"/>
      <w:lvlText w:val="%9."/>
      <w:lvlJc w:val="left"/>
      <w:pPr>
        <w:tabs>
          <w:tab w:val="num" w:pos="6480"/>
        </w:tabs>
        <w:ind w:left="6480" w:hanging="360"/>
      </w:pPr>
    </w:lvl>
  </w:abstractNum>
  <w:abstractNum w:abstractNumId="2" w15:restartNumberingAfterBreak="0">
    <w:nsid w:val="27CC0232"/>
    <w:multiLevelType w:val="multilevel"/>
    <w:tmpl w:val="C62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2294E"/>
    <w:multiLevelType w:val="hybridMultilevel"/>
    <w:tmpl w:val="C11E201A"/>
    <w:lvl w:ilvl="0" w:tplc="08C6E4E8">
      <w:start w:val="1"/>
      <w:numFmt w:val="lowerLetter"/>
      <w:lvlText w:val="%1)"/>
      <w:lvlJc w:val="left"/>
      <w:pPr>
        <w:tabs>
          <w:tab w:val="num" w:pos="720"/>
        </w:tabs>
        <w:ind w:left="720" w:hanging="360"/>
      </w:pPr>
    </w:lvl>
    <w:lvl w:ilvl="1" w:tplc="3B48A7F6" w:tentative="1">
      <w:start w:val="1"/>
      <w:numFmt w:val="lowerLetter"/>
      <w:lvlText w:val="%2)"/>
      <w:lvlJc w:val="left"/>
      <w:pPr>
        <w:tabs>
          <w:tab w:val="num" w:pos="1440"/>
        </w:tabs>
        <w:ind w:left="1440" w:hanging="360"/>
      </w:pPr>
    </w:lvl>
    <w:lvl w:ilvl="2" w:tplc="2348E30E" w:tentative="1">
      <w:start w:val="1"/>
      <w:numFmt w:val="lowerLetter"/>
      <w:lvlText w:val="%3)"/>
      <w:lvlJc w:val="left"/>
      <w:pPr>
        <w:tabs>
          <w:tab w:val="num" w:pos="2160"/>
        </w:tabs>
        <w:ind w:left="2160" w:hanging="360"/>
      </w:pPr>
    </w:lvl>
    <w:lvl w:ilvl="3" w:tplc="39F494F8" w:tentative="1">
      <w:start w:val="1"/>
      <w:numFmt w:val="lowerLetter"/>
      <w:lvlText w:val="%4)"/>
      <w:lvlJc w:val="left"/>
      <w:pPr>
        <w:tabs>
          <w:tab w:val="num" w:pos="2880"/>
        </w:tabs>
        <w:ind w:left="2880" w:hanging="360"/>
      </w:pPr>
    </w:lvl>
    <w:lvl w:ilvl="4" w:tplc="7A3E40F6" w:tentative="1">
      <w:start w:val="1"/>
      <w:numFmt w:val="lowerLetter"/>
      <w:lvlText w:val="%5)"/>
      <w:lvlJc w:val="left"/>
      <w:pPr>
        <w:tabs>
          <w:tab w:val="num" w:pos="3600"/>
        </w:tabs>
        <w:ind w:left="3600" w:hanging="360"/>
      </w:pPr>
    </w:lvl>
    <w:lvl w:ilvl="5" w:tplc="84D2F0B2" w:tentative="1">
      <w:start w:val="1"/>
      <w:numFmt w:val="lowerLetter"/>
      <w:lvlText w:val="%6)"/>
      <w:lvlJc w:val="left"/>
      <w:pPr>
        <w:tabs>
          <w:tab w:val="num" w:pos="4320"/>
        </w:tabs>
        <w:ind w:left="4320" w:hanging="360"/>
      </w:pPr>
    </w:lvl>
    <w:lvl w:ilvl="6" w:tplc="68388BD4" w:tentative="1">
      <w:start w:val="1"/>
      <w:numFmt w:val="lowerLetter"/>
      <w:lvlText w:val="%7)"/>
      <w:lvlJc w:val="left"/>
      <w:pPr>
        <w:tabs>
          <w:tab w:val="num" w:pos="5040"/>
        </w:tabs>
        <w:ind w:left="5040" w:hanging="360"/>
      </w:pPr>
    </w:lvl>
    <w:lvl w:ilvl="7" w:tplc="BCE8BA76" w:tentative="1">
      <w:start w:val="1"/>
      <w:numFmt w:val="lowerLetter"/>
      <w:lvlText w:val="%8)"/>
      <w:lvlJc w:val="left"/>
      <w:pPr>
        <w:tabs>
          <w:tab w:val="num" w:pos="5760"/>
        </w:tabs>
        <w:ind w:left="5760" w:hanging="360"/>
      </w:pPr>
    </w:lvl>
    <w:lvl w:ilvl="8" w:tplc="CAC80E7E" w:tentative="1">
      <w:start w:val="1"/>
      <w:numFmt w:val="lowerLetter"/>
      <w:lvlText w:val="%9)"/>
      <w:lvlJc w:val="left"/>
      <w:pPr>
        <w:tabs>
          <w:tab w:val="num" w:pos="6480"/>
        </w:tabs>
        <w:ind w:left="6480" w:hanging="360"/>
      </w:pPr>
    </w:lvl>
  </w:abstractNum>
  <w:abstractNum w:abstractNumId="4" w15:restartNumberingAfterBreak="0">
    <w:nsid w:val="4A4215F6"/>
    <w:multiLevelType w:val="hybridMultilevel"/>
    <w:tmpl w:val="4D7E6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5C091E"/>
    <w:multiLevelType w:val="hybridMultilevel"/>
    <w:tmpl w:val="C50A9860"/>
    <w:lvl w:ilvl="0" w:tplc="417C7F9C">
      <w:start w:val="1"/>
      <w:numFmt w:val="bullet"/>
      <w:lvlText w:val="•"/>
      <w:lvlJc w:val="left"/>
      <w:pPr>
        <w:tabs>
          <w:tab w:val="num" w:pos="720"/>
        </w:tabs>
        <w:ind w:left="720" w:hanging="360"/>
      </w:pPr>
      <w:rPr>
        <w:rFonts w:ascii="Times New Roman" w:hAnsi="Times New Roman" w:hint="default"/>
      </w:rPr>
    </w:lvl>
    <w:lvl w:ilvl="1" w:tplc="088649FA" w:tentative="1">
      <w:start w:val="1"/>
      <w:numFmt w:val="bullet"/>
      <w:lvlText w:val="•"/>
      <w:lvlJc w:val="left"/>
      <w:pPr>
        <w:tabs>
          <w:tab w:val="num" w:pos="1440"/>
        </w:tabs>
        <w:ind w:left="1440" w:hanging="360"/>
      </w:pPr>
      <w:rPr>
        <w:rFonts w:ascii="Times New Roman" w:hAnsi="Times New Roman" w:hint="default"/>
      </w:rPr>
    </w:lvl>
    <w:lvl w:ilvl="2" w:tplc="6FEC3C38" w:tentative="1">
      <w:start w:val="1"/>
      <w:numFmt w:val="bullet"/>
      <w:lvlText w:val="•"/>
      <w:lvlJc w:val="left"/>
      <w:pPr>
        <w:tabs>
          <w:tab w:val="num" w:pos="2160"/>
        </w:tabs>
        <w:ind w:left="2160" w:hanging="360"/>
      </w:pPr>
      <w:rPr>
        <w:rFonts w:ascii="Times New Roman" w:hAnsi="Times New Roman" w:hint="default"/>
      </w:rPr>
    </w:lvl>
    <w:lvl w:ilvl="3" w:tplc="9BA0D694" w:tentative="1">
      <w:start w:val="1"/>
      <w:numFmt w:val="bullet"/>
      <w:lvlText w:val="•"/>
      <w:lvlJc w:val="left"/>
      <w:pPr>
        <w:tabs>
          <w:tab w:val="num" w:pos="2880"/>
        </w:tabs>
        <w:ind w:left="2880" w:hanging="360"/>
      </w:pPr>
      <w:rPr>
        <w:rFonts w:ascii="Times New Roman" w:hAnsi="Times New Roman" w:hint="default"/>
      </w:rPr>
    </w:lvl>
    <w:lvl w:ilvl="4" w:tplc="723C03A4" w:tentative="1">
      <w:start w:val="1"/>
      <w:numFmt w:val="bullet"/>
      <w:lvlText w:val="•"/>
      <w:lvlJc w:val="left"/>
      <w:pPr>
        <w:tabs>
          <w:tab w:val="num" w:pos="3600"/>
        </w:tabs>
        <w:ind w:left="3600" w:hanging="360"/>
      </w:pPr>
      <w:rPr>
        <w:rFonts w:ascii="Times New Roman" w:hAnsi="Times New Roman" w:hint="default"/>
      </w:rPr>
    </w:lvl>
    <w:lvl w:ilvl="5" w:tplc="2E34EF22" w:tentative="1">
      <w:start w:val="1"/>
      <w:numFmt w:val="bullet"/>
      <w:lvlText w:val="•"/>
      <w:lvlJc w:val="left"/>
      <w:pPr>
        <w:tabs>
          <w:tab w:val="num" w:pos="4320"/>
        </w:tabs>
        <w:ind w:left="4320" w:hanging="360"/>
      </w:pPr>
      <w:rPr>
        <w:rFonts w:ascii="Times New Roman" w:hAnsi="Times New Roman" w:hint="default"/>
      </w:rPr>
    </w:lvl>
    <w:lvl w:ilvl="6" w:tplc="8EA4D24C" w:tentative="1">
      <w:start w:val="1"/>
      <w:numFmt w:val="bullet"/>
      <w:lvlText w:val="•"/>
      <w:lvlJc w:val="left"/>
      <w:pPr>
        <w:tabs>
          <w:tab w:val="num" w:pos="5040"/>
        </w:tabs>
        <w:ind w:left="5040" w:hanging="360"/>
      </w:pPr>
      <w:rPr>
        <w:rFonts w:ascii="Times New Roman" w:hAnsi="Times New Roman" w:hint="default"/>
      </w:rPr>
    </w:lvl>
    <w:lvl w:ilvl="7" w:tplc="3248652E" w:tentative="1">
      <w:start w:val="1"/>
      <w:numFmt w:val="bullet"/>
      <w:lvlText w:val="•"/>
      <w:lvlJc w:val="left"/>
      <w:pPr>
        <w:tabs>
          <w:tab w:val="num" w:pos="5760"/>
        </w:tabs>
        <w:ind w:left="5760" w:hanging="360"/>
      </w:pPr>
      <w:rPr>
        <w:rFonts w:ascii="Times New Roman" w:hAnsi="Times New Roman" w:hint="default"/>
      </w:rPr>
    </w:lvl>
    <w:lvl w:ilvl="8" w:tplc="F81AC60E" w:tentative="1">
      <w:start w:val="1"/>
      <w:numFmt w:val="bullet"/>
      <w:lvlText w:val="•"/>
      <w:lvlJc w:val="left"/>
      <w:pPr>
        <w:tabs>
          <w:tab w:val="num" w:pos="6480"/>
        </w:tabs>
        <w:ind w:left="6480" w:hanging="360"/>
      </w:pPr>
      <w:rPr>
        <w:rFonts w:ascii="Times New Roman" w:hAnsi="Times New Roman" w:hint="default"/>
      </w:rPr>
    </w:lvl>
  </w:abstractNum>
  <w:num w:numId="1" w16cid:durableId="1574505714">
    <w:abstractNumId w:val="3"/>
  </w:num>
  <w:num w:numId="2" w16cid:durableId="602689703">
    <w:abstractNumId w:val="4"/>
  </w:num>
  <w:num w:numId="3" w16cid:durableId="405029097">
    <w:abstractNumId w:val="1"/>
  </w:num>
  <w:num w:numId="4" w16cid:durableId="1771971646">
    <w:abstractNumId w:val="0"/>
  </w:num>
  <w:num w:numId="5" w16cid:durableId="84545586">
    <w:abstractNumId w:val="5"/>
  </w:num>
  <w:num w:numId="6" w16cid:durableId="709109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AB"/>
    <w:rsid w:val="00000574"/>
    <w:rsid w:val="00020F5C"/>
    <w:rsid w:val="000250A1"/>
    <w:rsid w:val="000D465E"/>
    <w:rsid w:val="000F5FDD"/>
    <w:rsid w:val="001A4DA4"/>
    <w:rsid w:val="00215F42"/>
    <w:rsid w:val="00260BAA"/>
    <w:rsid w:val="002D04B1"/>
    <w:rsid w:val="002D4A27"/>
    <w:rsid w:val="002E6A32"/>
    <w:rsid w:val="00305EBB"/>
    <w:rsid w:val="00312E1E"/>
    <w:rsid w:val="003234D8"/>
    <w:rsid w:val="003C3EDF"/>
    <w:rsid w:val="004060E7"/>
    <w:rsid w:val="00406EEE"/>
    <w:rsid w:val="00436309"/>
    <w:rsid w:val="00510EFE"/>
    <w:rsid w:val="005152ED"/>
    <w:rsid w:val="005170DB"/>
    <w:rsid w:val="00555AAB"/>
    <w:rsid w:val="00562FCF"/>
    <w:rsid w:val="00572947"/>
    <w:rsid w:val="00622E52"/>
    <w:rsid w:val="00632C87"/>
    <w:rsid w:val="00696DA0"/>
    <w:rsid w:val="006A7F99"/>
    <w:rsid w:val="008661AD"/>
    <w:rsid w:val="008E0900"/>
    <w:rsid w:val="00937014"/>
    <w:rsid w:val="00A0484A"/>
    <w:rsid w:val="00A73594"/>
    <w:rsid w:val="00AD1AC0"/>
    <w:rsid w:val="00AD516B"/>
    <w:rsid w:val="00AE6580"/>
    <w:rsid w:val="00D3539B"/>
    <w:rsid w:val="00D6484A"/>
    <w:rsid w:val="00D83671"/>
    <w:rsid w:val="00E13AA8"/>
    <w:rsid w:val="00E24199"/>
    <w:rsid w:val="00E96667"/>
    <w:rsid w:val="00F16065"/>
    <w:rsid w:val="00F53FD2"/>
    <w:rsid w:val="00F76D5E"/>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67BB"/>
  <w15:chartTrackingRefBased/>
  <w15:docId w15:val="{B9015EA9-5245-4779-A999-0130D45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363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36309"/>
    <w:rPr>
      <w:color w:val="0000FF"/>
      <w:u w:val="single"/>
    </w:rPr>
  </w:style>
  <w:style w:type="paragraph" w:styleId="Listenabsatz">
    <w:name w:val="List Paragraph"/>
    <w:basedOn w:val="Standard"/>
    <w:uiPriority w:val="34"/>
    <w:qFormat/>
    <w:rsid w:val="00AE6580"/>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8049">
      <w:bodyDiv w:val="1"/>
      <w:marLeft w:val="0"/>
      <w:marRight w:val="0"/>
      <w:marTop w:val="0"/>
      <w:marBottom w:val="0"/>
      <w:divBdr>
        <w:top w:val="none" w:sz="0" w:space="0" w:color="auto"/>
        <w:left w:val="none" w:sz="0" w:space="0" w:color="auto"/>
        <w:bottom w:val="none" w:sz="0" w:space="0" w:color="auto"/>
        <w:right w:val="none" w:sz="0" w:space="0" w:color="auto"/>
      </w:divBdr>
      <w:divsChild>
        <w:div w:id="849031675">
          <w:marLeft w:val="360"/>
          <w:marRight w:val="0"/>
          <w:marTop w:val="0"/>
          <w:marBottom w:val="0"/>
          <w:divBdr>
            <w:top w:val="none" w:sz="0" w:space="0" w:color="auto"/>
            <w:left w:val="none" w:sz="0" w:space="0" w:color="auto"/>
            <w:bottom w:val="none" w:sz="0" w:space="0" w:color="auto"/>
            <w:right w:val="none" w:sz="0" w:space="0" w:color="auto"/>
          </w:divBdr>
        </w:div>
      </w:divsChild>
    </w:div>
    <w:div w:id="356079708">
      <w:bodyDiv w:val="1"/>
      <w:marLeft w:val="0"/>
      <w:marRight w:val="0"/>
      <w:marTop w:val="0"/>
      <w:marBottom w:val="0"/>
      <w:divBdr>
        <w:top w:val="none" w:sz="0" w:space="0" w:color="auto"/>
        <w:left w:val="none" w:sz="0" w:space="0" w:color="auto"/>
        <w:bottom w:val="none" w:sz="0" w:space="0" w:color="auto"/>
        <w:right w:val="none" w:sz="0" w:space="0" w:color="auto"/>
      </w:divBdr>
    </w:div>
    <w:div w:id="697897656">
      <w:bodyDiv w:val="1"/>
      <w:marLeft w:val="0"/>
      <w:marRight w:val="0"/>
      <w:marTop w:val="0"/>
      <w:marBottom w:val="0"/>
      <w:divBdr>
        <w:top w:val="none" w:sz="0" w:space="0" w:color="auto"/>
        <w:left w:val="none" w:sz="0" w:space="0" w:color="auto"/>
        <w:bottom w:val="none" w:sz="0" w:space="0" w:color="auto"/>
        <w:right w:val="none" w:sz="0" w:space="0" w:color="auto"/>
      </w:divBdr>
    </w:div>
    <w:div w:id="777289484">
      <w:bodyDiv w:val="1"/>
      <w:marLeft w:val="0"/>
      <w:marRight w:val="0"/>
      <w:marTop w:val="0"/>
      <w:marBottom w:val="0"/>
      <w:divBdr>
        <w:top w:val="none" w:sz="0" w:space="0" w:color="auto"/>
        <w:left w:val="none" w:sz="0" w:space="0" w:color="auto"/>
        <w:bottom w:val="none" w:sz="0" w:space="0" w:color="auto"/>
        <w:right w:val="none" w:sz="0" w:space="0" w:color="auto"/>
      </w:divBdr>
    </w:div>
    <w:div w:id="1031422177">
      <w:bodyDiv w:val="1"/>
      <w:marLeft w:val="0"/>
      <w:marRight w:val="0"/>
      <w:marTop w:val="0"/>
      <w:marBottom w:val="0"/>
      <w:divBdr>
        <w:top w:val="none" w:sz="0" w:space="0" w:color="auto"/>
        <w:left w:val="none" w:sz="0" w:space="0" w:color="auto"/>
        <w:bottom w:val="none" w:sz="0" w:space="0" w:color="auto"/>
        <w:right w:val="none" w:sz="0" w:space="0" w:color="auto"/>
      </w:divBdr>
      <w:divsChild>
        <w:div w:id="264921297">
          <w:marLeft w:val="547"/>
          <w:marRight w:val="0"/>
          <w:marTop w:val="0"/>
          <w:marBottom w:val="0"/>
          <w:divBdr>
            <w:top w:val="none" w:sz="0" w:space="0" w:color="auto"/>
            <w:left w:val="none" w:sz="0" w:space="0" w:color="auto"/>
            <w:bottom w:val="none" w:sz="0" w:space="0" w:color="auto"/>
            <w:right w:val="none" w:sz="0" w:space="0" w:color="auto"/>
          </w:divBdr>
        </w:div>
        <w:div w:id="2073848519">
          <w:marLeft w:val="547"/>
          <w:marRight w:val="0"/>
          <w:marTop w:val="0"/>
          <w:marBottom w:val="0"/>
          <w:divBdr>
            <w:top w:val="none" w:sz="0" w:space="0" w:color="auto"/>
            <w:left w:val="none" w:sz="0" w:space="0" w:color="auto"/>
            <w:bottom w:val="none" w:sz="0" w:space="0" w:color="auto"/>
            <w:right w:val="none" w:sz="0" w:space="0" w:color="auto"/>
          </w:divBdr>
        </w:div>
        <w:div w:id="1348366448">
          <w:marLeft w:val="547"/>
          <w:marRight w:val="0"/>
          <w:marTop w:val="0"/>
          <w:marBottom w:val="0"/>
          <w:divBdr>
            <w:top w:val="none" w:sz="0" w:space="0" w:color="auto"/>
            <w:left w:val="none" w:sz="0" w:space="0" w:color="auto"/>
            <w:bottom w:val="none" w:sz="0" w:space="0" w:color="auto"/>
            <w:right w:val="none" w:sz="0" w:space="0" w:color="auto"/>
          </w:divBdr>
        </w:div>
        <w:div w:id="2109736572">
          <w:marLeft w:val="547"/>
          <w:marRight w:val="0"/>
          <w:marTop w:val="0"/>
          <w:marBottom w:val="0"/>
          <w:divBdr>
            <w:top w:val="none" w:sz="0" w:space="0" w:color="auto"/>
            <w:left w:val="none" w:sz="0" w:space="0" w:color="auto"/>
            <w:bottom w:val="none" w:sz="0" w:space="0" w:color="auto"/>
            <w:right w:val="none" w:sz="0" w:space="0" w:color="auto"/>
          </w:divBdr>
        </w:div>
      </w:divsChild>
    </w:div>
    <w:div w:id="1283079017">
      <w:bodyDiv w:val="1"/>
      <w:marLeft w:val="0"/>
      <w:marRight w:val="0"/>
      <w:marTop w:val="0"/>
      <w:marBottom w:val="0"/>
      <w:divBdr>
        <w:top w:val="none" w:sz="0" w:space="0" w:color="auto"/>
        <w:left w:val="none" w:sz="0" w:space="0" w:color="auto"/>
        <w:bottom w:val="none" w:sz="0" w:space="0" w:color="auto"/>
        <w:right w:val="none" w:sz="0" w:space="0" w:color="auto"/>
      </w:divBdr>
    </w:div>
    <w:div w:id="1312364922">
      <w:bodyDiv w:val="1"/>
      <w:marLeft w:val="0"/>
      <w:marRight w:val="0"/>
      <w:marTop w:val="0"/>
      <w:marBottom w:val="0"/>
      <w:divBdr>
        <w:top w:val="none" w:sz="0" w:space="0" w:color="auto"/>
        <w:left w:val="none" w:sz="0" w:space="0" w:color="auto"/>
        <w:bottom w:val="none" w:sz="0" w:space="0" w:color="auto"/>
        <w:right w:val="none" w:sz="0" w:space="0" w:color="auto"/>
      </w:divBdr>
    </w:div>
    <w:div w:id="1499423257">
      <w:bodyDiv w:val="1"/>
      <w:marLeft w:val="0"/>
      <w:marRight w:val="0"/>
      <w:marTop w:val="0"/>
      <w:marBottom w:val="0"/>
      <w:divBdr>
        <w:top w:val="none" w:sz="0" w:space="0" w:color="auto"/>
        <w:left w:val="none" w:sz="0" w:space="0" w:color="auto"/>
        <w:bottom w:val="none" w:sz="0" w:space="0" w:color="auto"/>
        <w:right w:val="none" w:sz="0" w:space="0" w:color="auto"/>
      </w:divBdr>
    </w:div>
    <w:div w:id="1867672265">
      <w:bodyDiv w:val="1"/>
      <w:marLeft w:val="0"/>
      <w:marRight w:val="0"/>
      <w:marTop w:val="0"/>
      <w:marBottom w:val="0"/>
      <w:divBdr>
        <w:top w:val="none" w:sz="0" w:space="0" w:color="auto"/>
        <w:left w:val="none" w:sz="0" w:space="0" w:color="auto"/>
        <w:bottom w:val="none" w:sz="0" w:space="0" w:color="auto"/>
        <w:right w:val="none" w:sz="0" w:space="0" w:color="auto"/>
      </w:divBdr>
    </w:div>
    <w:div w:id="1913194483">
      <w:bodyDiv w:val="1"/>
      <w:marLeft w:val="0"/>
      <w:marRight w:val="0"/>
      <w:marTop w:val="0"/>
      <w:marBottom w:val="0"/>
      <w:divBdr>
        <w:top w:val="none" w:sz="0" w:space="0" w:color="auto"/>
        <w:left w:val="none" w:sz="0" w:space="0" w:color="auto"/>
        <w:bottom w:val="none" w:sz="0" w:space="0" w:color="auto"/>
        <w:right w:val="none" w:sz="0" w:space="0" w:color="auto"/>
      </w:divBdr>
    </w:div>
    <w:div w:id="21364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Bezahlbare Energie</dc:creator>
  <cp:keywords/>
  <dc:description/>
  <cp:lastModifiedBy>Günter Hinrichs</cp:lastModifiedBy>
  <cp:revision>9</cp:revision>
  <dcterms:created xsi:type="dcterms:W3CDTF">2017-04-16T08:19:00Z</dcterms:created>
  <dcterms:modified xsi:type="dcterms:W3CDTF">2022-11-08T14:14:00Z</dcterms:modified>
</cp:coreProperties>
</file>