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5E5DB" w14:textId="36FC7F4B" w:rsidR="0090782A" w:rsidRDefault="0090782A" w:rsidP="00917C4C">
      <w:pPr>
        <w:pStyle w:val="StandardWeb"/>
        <w:spacing w:before="0" w:beforeAutospacing="0" w:after="0" w:afterAutospacing="0"/>
        <w:jc w:val="center"/>
        <w:rPr>
          <w:rFonts w:asciiTheme="minorHAnsi" w:eastAsiaTheme="minorEastAsia" w:hAnsi="Calibri" w:cstheme="minorBidi"/>
          <w:b/>
          <w:bCs/>
          <w:color w:val="000000" w:themeColor="text1"/>
          <w:kern w:val="24"/>
          <w:u w:val="single"/>
        </w:rPr>
      </w:pPr>
      <w:r>
        <w:rPr>
          <w:noProof/>
        </w:rPr>
        <w:drawing>
          <wp:anchor distT="0" distB="0" distL="114300" distR="114300" simplePos="0" relativeHeight="251659264" behindDoc="0" locked="0" layoutInCell="1" allowOverlap="1" wp14:anchorId="0FAC24E2" wp14:editId="5A0FB443">
            <wp:simplePos x="0" y="0"/>
            <wp:positionH relativeFrom="column">
              <wp:posOffset>0</wp:posOffset>
            </wp:positionH>
            <wp:positionV relativeFrom="paragraph">
              <wp:posOffset>0</wp:posOffset>
            </wp:positionV>
            <wp:extent cx="5760720" cy="1442085"/>
            <wp:effectExtent l="0" t="0" r="0" b="5715"/>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760720" cy="1442085"/>
                    </a:xfrm>
                    <a:prstGeom prst="rect">
                      <a:avLst/>
                    </a:prstGeom>
                  </pic:spPr>
                </pic:pic>
              </a:graphicData>
            </a:graphic>
          </wp:anchor>
        </w:drawing>
      </w:r>
    </w:p>
    <w:p w14:paraId="3630CCCC" w14:textId="77777777" w:rsidR="0090782A" w:rsidRDefault="0090782A" w:rsidP="00917C4C">
      <w:pPr>
        <w:pStyle w:val="StandardWeb"/>
        <w:spacing w:before="0" w:beforeAutospacing="0" w:after="0" w:afterAutospacing="0"/>
        <w:jc w:val="center"/>
        <w:rPr>
          <w:rFonts w:asciiTheme="minorHAnsi" w:eastAsiaTheme="minorEastAsia" w:hAnsi="Calibri" w:cstheme="minorBidi"/>
          <w:b/>
          <w:bCs/>
          <w:color w:val="000000" w:themeColor="text1"/>
          <w:kern w:val="24"/>
          <w:u w:val="single"/>
        </w:rPr>
      </w:pPr>
    </w:p>
    <w:p w14:paraId="2FA34B08" w14:textId="77777777" w:rsidR="0090782A" w:rsidRDefault="0090782A" w:rsidP="00917C4C">
      <w:pPr>
        <w:pStyle w:val="StandardWeb"/>
        <w:spacing w:before="0" w:beforeAutospacing="0" w:after="0" w:afterAutospacing="0"/>
        <w:jc w:val="center"/>
        <w:rPr>
          <w:rFonts w:asciiTheme="minorHAnsi" w:eastAsiaTheme="minorEastAsia" w:hAnsi="Calibri" w:cstheme="minorBidi"/>
          <w:b/>
          <w:bCs/>
          <w:color w:val="000000" w:themeColor="text1"/>
          <w:kern w:val="24"/>
          <w:u w:val="single"/>
        </w:rPr>
      </w:pPr>
    </w:p>
    <w:p w14:paraId="6F6452C6" w14:textId="77777777" w:rsidR="0090782A" w:rsidRDefault="0090782A" w:rsidP="00917C4C">
      <w:pPr>
        <w:pStyle w:val="StandardWeb"/>
        <w:spacing w:before="0" w:beforeAutospacing="0" w:after="0" w:afterAutospacing="0"/>
        <w:jc w:val="center"/>
        <w:rPr>
          <w:rFonts w:asciiTheme="minorHAnsi" w:eastAsiaTheme="minorEastAsia" w:hAnsi="Calibri" w:cstheme="minorBidi"/>
          <w:b/>
          <w:bCs/>
          <w:color w:val="000000" w:themeColor="text1"/>
          <w:kern w:val="24"/>
          <w:u w:val="single"/>
        </w:rPr>
      </w:pPr>
    </w:p>
    <w:p w14:paraId="7F105A12" w14:textId="77777777" w:rsidR="0090782A" w:rsidRDefault="0090782A" w:rsidP="00917C4C">
      <w:pPr>
        <w:pStyle w:val="StandardWeb"/>
        <w:spacing w:before="0" w:beforeAutospacing="0" w:after="0" w:afterAutospacing="0"/>
        <w:jc w:val="center"/>
        <w:rPr>
          <w:rFonts w:asciiTheme="minorHAnsi" w:eastAsiaTheme="minorEastAsia" w:hAnsi="Calibri" w:cstheme="minorBidi"/>
          <w:b/>
          <w:bCs/>
          <w:color w:val="000000" w:themeColor="text1"/>
          <w:kern w:val="24"/>
          <w:u w:val="single"/>
        </w:rPr>
      </w:pPr>
    </w:p>
    <w:p w14:paraId="3E0DBBBD" w14:textId="77777777" w:rsidR="0090782A" w:rsidRDefault="0090782A" w:rsidP="00917C4C">
      <w:pPr>
        <w:pStyle w:val="StandardWeb"/>
        <w:spacing w:before="0" w:beforeAutospacing="0" w:after="0" w:afterAutospacing="0"/>
        <w:jc w:val="center"/>
        <w:rPr>
          <w:rFonts w:asciiTheme="minorHAnsi" w:eastAsiaTheme="minorEastAsia" w:hAnsi="Calibri" w:cstheme="minorBidi"/>
          <w:b/>
          <w:bCs/>
          <w:color w:val="000000" w:themeColor="text1"/>
          <w:kern w:val="24"/>
          <w:u w:val="single"/>
        </w:rPr>
      </w:pPr>
    </w:p>
    <w:p w14:paraId="77C9DFC7" w14:textId="77777777" w:rsidR="0090782A" w:rsidRDefault="0090782A" w:rsidP="00917C4C">
      <w:pPr>
        <w:pStyle w:val="StandardWeb"/>
        <w:spacing w:before="0" w:beforeAutospacing="0" w:after="0" w:afterAutospacing="0"/>
        <w:jc w:val="center"/>
        <w:rPr>
          <w:rFonts w:asciiTheme="minorHAnsi" w:eastAsiaTheme="minorEastAsia" w:hAnsi="Calibri" w:cstheme="minorBidi"/>
          <w:b/>
          <w:bCs/>
          <w:color w:val="000000" w:themeColor="text1"/>
          <w:kern w:val="24"/>
          <w:u w:val="single"/>
        </w:rPr>
      </w:pPr>
    </w:p>
    <w:p w14:paraId="4E2B0D3B" w14:textId="77777777" w:rsidR="0090782A" w:rsidRDefault="0090782A" w:rsidP="00917C4C">
      <w:pPr>
        <w:pStyle w:val="StandardWeb"/>
        <w:spacing w:before="0" w:beforeAutospacing="0" w:after="0" w:afterAutospacing="0"/>
        <w:jc w:val="center"/>
        <w:rPr>
          <w:rFonts w:asciiTheme="minorHAnsi" w:eastAsiaTheme="minorEastAsia" w:hAnsi="Calibri" w:cstheme="minorBidi"/>
          <w:b/>
          <w:bCs/>
          <w:color w:val="000000" w:themeColor="text1"/>
          <w:kern w:val="24"/>
          <w:u w:val="single"/>
        </w:rPr>
      </w:pPr>
    </w:p>
    <w:p w14:paraId="789D2A95" w14:textId="6076F61C" w:rsidR="00917C4C" w:rsidRPr="00975BBC" w:rsidRDefault="00686EA5" w:rsidP="00917C4C">
      <w:pPr>
        <w:pStyle w:val="StandardWeb"/>
        <w:spacing w:before="0" w:beforeAutospacing="0" w:after="0" w:afterAutospacing="0"/>
        <w:jc w:val="center"/>
        <w:rPr>
          <w:sz w:val="12"/>
          <w:szCs w:val="12"/>
        </w:rPr>
      </w:pPr>
      <w:r>
        <w:rPr>
          <w:rFonts w:asciiTheme="minorHAnsi" w:eastAsiaTheme="minorEastAsia" w:hAnsi="Calibri" w:cstheme="minorBidi"/>
          <w:b/>
          <w:bCs/>
          <w:color w:val="C00000"/>
          <w:kern w:val="24"/>
          <w:sz w:val="28"/>
          <w:szCs w:val="28"/>
          <w:u w:val="single"/>
        </w:rPr>
        <w:t>Leistungsbegrenzung und Tagesverlauf</w:t>
      </w:r>
    </w:p>
    <w:p w14:paraId="607205E4" w14:textId="5AE5371E" w:rsidR="00686EA5" w:rsidRPr="00686EA5" w:rsidRDefault="00686EA5" w:rsidP="00686EA5">
      <w:pPr>
        <w:pStyle w:val="StandardWeb"/>
        <w:spacing w:before="0" w:beforeAutospacing="0" w:after="0" w:afterAutospacing="0"/>
      </w:pPr>
      <w:r>
        <w:rPr>
          <w:rFonts w:asciiTheme="minorHAnsi" w:eastAsiaTheme="minorEastAsia" w:hAnsi="Calibri" w:cstheme="minorBidi"/>
          <w:b/>
          <w:bCs/>
          <w:color w:val="000000" w:themeColor="text1"/>
          <w:kern w:val="24"/>
          <w:sz w:val="22"/>
          <w:szCs w:val="22"/>
        </w:rPr>
        <w:br/>
      </w:r>
      <w:r w:rsidRPr="00686EA5">
        <w:rPr>
          <w:rFonts w:asciiTheme="minorHAnsi" w:eastAsiaTheme="minorEastAsia" w:hAnsi="Calibri" w:cstheme="minorBidi"/>
          <w:b/>
          <w:bCs/>
          <w:color w:val="000000" w:themeColor="text1"/>
          <w:kern w:val="24"/>
        </w:rPr>
        <w:t>Leistungsbegrenzung bei PV-Anlagen und Verlusthöhe</w:t>
      </w:r>
    </w:p>
    <w:p w14:paraId="1158F777" w14:textId="64FB0556" w:rsidR="00686EA5" w:rsidRPr="00686EA5" w:rsidRDefault="00686EA5" w:rsidP="00686EA5">
      <w:pPr>
        <w:spacing w:after="0" w:line="240" w:lineRule="auto"/>
        <w:rPr>
          <w:rFonts w:ascii="Times New Roman" w:eastAsia="Times New Roman" w:hAnsi="Times New Roman" w:cs="Times New Roman"/>
          <w:sz w:val="24"/>
          <w:szCs w:val="24"/>
          <w:lang w:eastAsia="de-DE"/>
        </w:rPr>
      </w:pPr>
      <w:r w:rsidRPr="00686EA5">
        <w:rPr>
          <w:rFonts w:eastAsiaTheme="minorEastAsia" w:hAnsi="Calibri"/>
          <w:color w:val="000000" w:themeColor="text1"/>
          <w:kern w:val="24"/>
          <w:lang w:eastAsia="de-DE"/>
        </w:rPr>
        <w:t xml:space="preserve">Die Wirkleistungsbegrenzung ist seit 2012 im </w:t>
      </w:r>
      <w:hyperlink r:id="rId6" w:history="1">
        <w:r w:rsidRPr="00686EA5">
          <w:rPr>
            <w:rFonts w:eastAsiaTheme="minorEastAsia" w:hAnsi="Calibri"/>
            <w:color w:val="000000" w:themeColor="text1"/>
            <w:kern w:val="24"/>
            <w:u w:val="single"/>
            <w:lang w:eastAsia="de-DE"/>
          </w:rPr>
          <w:t>Erneuerbare-Energien-Gesetz (EEG)</w:t>
        </w:r>
      </w:hyperlink>
      <w:r w:rsidRPr="00686EA5">
        <w:rPr>
          <w:rFonts w:eastAsiaTheme="minorEastAsia" w:hAnsi="Calibri"/>
          <w:color w:val="000000" w:themeColor="text1"/>
          <w:kern w:val="24"/>
          <w:lang w:eastAsia="de-DE"/>
        </w:rPr>
        <w:t xml:space="preserve"> festgeschrieben. Als Grund hierfür wird die Gewährleistung der Stromnetzstabilität angegeben. </w:t>
      </w:r>
      <w:r w:rsidRPr="00686EA5">
        <w:rPr>
          <w:rFonts w:eastAsiaTheme="minorEastAsia" w:hAnsi="Calibri"/>
          <w:color w:val="000000" w:themeColor="text1"/>
          <w:kern w:val="24"/>
          <w:lang w:eastAsia="de-DE"/>
        </w:rPr>
        <w:br/>
        <w:t xml:space="preserve">Daher erteilt das Gesetz jedem Netzbetreiber das Recht, vor Ort eine fernbedienbare Funkrundsteuerung zu verlangen, über die sich die Einspeisung ins Netz drosseln lässt. Für die kleinen Solaranlagen auf Eigenheim-Dächern stünden die Kosten für eine solche Steuerungseinheit allerdings in keinem Verhältnis zum Wert der Solaranlage selbst. Darum dürfen Hausbesitzer auf diese Steuerungseinheit verzichten, wenn sie ihre Solaranlage in der Maximalleistung begrenzen und somit auch höchstens 70 Prozent ins Netz einspeisen. </w:t>
      </w:r>
      <w:r w:rsidRPr="00686EA5">
        <w:rPr>
          <w:rFonts w:eastAsiaTheme="minorEastAsia" w:hAnsi="Calibri"/>
          <w:color w:val="000000" w:themeColor="text1"/>
          <w:kern w:val="24"/>
          <w:lang w:eastAsia="de-DE"/>
        </w:rPr>
        <w:br/>
        <w:t xml:space="preserve">Nur wenn diese Voraussetzung erfüllt ist, können Sie Ihren Solarstrom auch an den Netzbetreiber verkaufen. </w:t>
      </w:r>
      <w:r>
        <w:rPr>
          <w:rFonts w:eastAsiaTheme="minorEastAsia" w:hAnsi="Calibri"/>
          <w:color w:val="000000" w:themeColor="text1"/>
          <w:kern w:val="24"/>
          <w:lang w:eastAsia="de-DE"/>
        </w:rPr>
        <w:br/>
      </w:r>
      <w:r w:rsidRPr="00686EA5">
        <w:rPr>
          <w:rFonts w:eastAsiaTheme="minorEastAsia" w:hAnsi="Calibri"/>
          <w:color w:val="000000" w:themeColor="text1"/>
          <w:kern w:val="24"/>
          <w:lang w:eastAsia="de-DE"/>
        </w:rPr>
        <w:t xml:space="preserve">Kurz gesagt: </w:t>
      </w:r>
      <w:r w:rsidRPr="00686EA5">
        <w:rPr>
          <w:rFonts w:eastAsiaTheme="minorEastAsia" w:hAnsi="Calibri"/>
          <w:b/>
          <w:bCs/>
          <w:color w:val="000000" w:themeColor="text1"/>
          <w:kern w:val="24"/>
          <w:lang w:eastAsia="de-DE"/>
        </w:rPr>
        <w:t>Keine Einspeisevergütung ohne Wirkleistungsbegrenzung!</w:t>
      </w:r>
      <w:r w:rsidRPr="00686EA5">
        <w:rPr>
          <w:rFonts w:eastAsiaTheme="minorEastAsia" w:hAnsi="Calibri"/>
          <w:color w:val="000000" w:themeColor="text1"/>
          <w:kern w:val="24"/>
          <w:lang w:eastAsia="de-DE"/>
        </w:rPr>
        <w:t xml:space="preserve"> </w:t>
      </w:r>
    </w:p>
    <w:p w14:paraId="209DBAFF" w14:textId="77777777" w:rsidR="00686EA5" w:rsidRDefault="00686EA5" w:rsidP="00686EA5">
      <w:pPr>
        <w:spacing w:after="0" w:line="240" w:lineRule="auto"/>
        <w:rPr>
          <w:rFonts w:eastAsiaTheme="minorEastAsia" w:hAnsi="Calibri"/>
          <w:color w:val="000000" w:themeColor="text1"/>
          <w:kern w:val="24"/>
          <w:lang w:eastAsia="de-DE"/>
        </w:rPr>
      </w:pPr>
    </w:p>
    <w:p w14:paraId="788AF461" w14:textId="238A977D" w:rsidR="00686EA5" w:rsidRDefault="00686EA5" w:rsidP="005152CC">
      <w:pPr>
        <w:rPr>
          <w:rFonts w:eastAsiaTheme="minorEastAsia" w:hAnsi="Calibri"/>
          <w:color w:val="000000" w:themeColor="text1"/>
          <w:kern w:val="24"/>
          <w:lang w:eastAsia="de-DE"/>
        </w:rPr>
      </w:pPr>
      <w:r w:rsidRPr="00686EA5">
        <w:rPr>
          <w:rFonts w:eastAsiaTheme="minorEastAsia" w:hAnsi="Calibri"/>
          <w:color w:val="000000" w:themeColor="text1"/>
          <w:kern w:val="24"/>
          <w:lang w:eastAsia="de-DE"/>
        </w:rPr>
        <w:t>Die Maximalleistung einer Solaranlage wird im Labor unter Idealbedingungen ermittelt. In der Praxis kommt die perfekte Sonneneinstrahlung in Kombination mit der idealen Temperatur aufgrund der individuellen Dachneigung- und Ausrichtung oder den Wetter- und Umwelteinflüssen leider gar nicht so häufig vor</w:t>
      </w:r>
      <w:r>
        <w:rPr>
          <w:rFonts w:eastAsiaTheme="minorEastAsia" w:hAnsi="Calibri"/>
          <w:color w:val="000000" w:themeColor="text1"/>
          <w:kern w:val="24"/>
          <w:lang w:eastAsia="de-DE"/>
        </w:rPr>
        <w:t>.</w:t>
      </w:r>
      <w:r w:rsidR="005152CC" w:rsidRPr="005152CC">
        <w:rPr>
          <w:rFonts w:hAnsi="Calibri"/>
          <w:color w:val="000000" w:themeColor="text1"/>
          <w:kern w:val="24"/>
          <w:sz w:val="20"/>
          <w:szCs w:val="20"/>
        </w:rPr>
        <w:t xml:space="preserve"> </w:t>
      </w:r>
      <w:r w:rsidR="005152CC">
        <w:rPr>
          <w:rFonts w:hAnsi="Calibri"/>
          <w:color w:val="000000" w:themeColor="text1"/>
          <w:kern w:val="24"/>
          <w:sz w:val="20"/>
          <w:szCs w:val="20"/>
        </w:rPr>
        <w:t xml:space="preserve">Ihre Solaranlage arbeitet demnach nur selten am Anschlag und es sind nur </w:t>
      </w:r>
      <w:r w:rsidR="005152CC">
        <w:rPr>
          <w:rFonts w:hAnsi="Calibri"/>
          <w:b/>
          <w:bCs/>
          <w:color w:val="000000" w:themeColor="text1"/>
          <w:kern w:val="24"/>
          <w:sz w:val="20"/>
          <w:szCs w:val="20"/>
        </w:rPr>
        <w:t>wenige Tage, an denen es überhaupt zu einer Abregelung kommt</w:t>
      </w:r>
      <w:r w:rsidR="005152CC">
        <w:rPr>
          <w:rFonts w:hAnsi="Calibri"/>
          <w:color w:val="000000" w:themeColor="text1"/>
          <w:kern w:val="24"/>
          <w:sz w:val="20"/>
          <w:szCs w:val="20"/>
        </w:rPr>
        <w:t>.</w:t>
      </w:r>
    </w:p>
    <w:p w14:paraId="11F51BD4" w14:textId="40504017" w:rsidR="00686EA5" w:rsidRPr="00686EA5" w:rsidRDefault="00686EA5" w:rsidP="00686EA5">
      <w:pPr>
        <w:spacing w:after="0" w:line="240" w:lineRule="auto"/>
        <w:rPr>
          <w:rFonts w:ascii="Times New Roman" w:eastAsia="Times New Roman" w:hAnsi="Times New Roman" w:cs="Times New Roman"/>
          <w:b/>
          <w:bCs/>
          <w:sz w:val="24"/>
          <w:szCs w:val="24"/>
          <w:lang w:eastAsia="de-DE"/>
        </w:rPr>
      </w:pPr>
      <w:r w:rsidRPr="00686EA5">
        <w:rPr>
          <w:rFonts w:eastAsiaTheme="minorEastAsia" w:hAnsi="Calibri"/>
          <w:b/>
          <w:bCs/>
          <w:color w:val="000000" w:themeColor="text1"/>
          <w:kern w:val="24"/>
          <w:lang w:eastAsia="de-DE"/>
        </w:rPr>
        <w:t>Kleinstanlage unter 7 kW pik</w:t>
      </w:r>
      <w:r w:rsidRPr="00686EA5">
        <w:rPr>
          <w:rFonts w:eastAsiaTheme="minorEastAsia" w:hAnsi="Calibri"/>
          <w:color w:val="000000" w:themeColor="text1"/>
          <w:kern w:val="24"/>
          <w:lang w:eastAsia="de-DE"/>
        </w:rPr>
        <w:br/>
        <w:t>Eine 5 kW pik Anlage l</w:t>
      </w:r>
      <w:r>
        <w:rPr>
          <w:rFonts w:eastAsiaTheme="minorEastAsia" w:hAnsi="Calibri"/>
          <w:color w:val="000000" w:themeColor="text1"/>
          <w:kern w:val="24"/>
          <w:lang w:eastAsia="de-DE"/>
        </w:rPr>
        <w:t>iefer</w:t>
      </w:r>
      <w:r w:rsidRPr="00686EA5">
        <w:rPr>
          <w:rFonts w:eastAsiaTheme="minorEastAsia" w:hAnsi="Calibri"/>
          <w:color w:val="000000" w:themeColor="text1"/>
          <w:kern w:val="24"/>
          <w:lang w:eastAsia="de-DE"/>
        </w:rPr>
        <w:t xml:space="preserve">t </w:t>
      </w:r>
      <w:r>
        <w:rPr>
          <w:rFonts w:eastAsiaTheme="minorEastAsia" w:hAnsi="Calibri"/>
          <w:color w:val="000000" w:themeColor="text1"/>
          <w:kern w:val="24"/>
          <w:lang w:eastAsia="de-DE"/>
        </w:rPr>
        <w:t>in Norddeutschland ca. 4.65</w:t>
      </w:r>
      <w:r w:rsidRPr="00686EA5">
        <w:rPr>
          <w:rFonts w:eastAsiaTheme="minorEastAsia" w:hAnsi="Calibri"/>
          <w:color w:val="000000" w:themeColor="text1"/>
          <w:kern w:val="24"/>
          <w:lang w:eastAsia="de-DE"/>
        </w:rPr>
        <w:t>0 KWh/Jahr.</w:t>
      </w:r>
      <w:r>
        <w:rPr>
          <w:rFonts w:eastAsiaTheme="minorEastAsia" w:hAnsi="Calibri"/>
          <w:color w:val="000000" w:themeColor="text1"/>
          <w:kern w:val="24"/>
          <w:lang w:eastAsia="de-DE"/>
        </w:rPr>
        <w:t xml:space="preserve"> </w:t>
      </w:r>
      <w:r w:rsidRPr="00686EA5">
        <w:rPr>
          <w:rFonts w:eastAsiaTheme="minorEastAsia" w:hAnsi="Calibri"/>
          <w:color w:val="000000" w:themeColor="text1"/>
          <w:kern w:val="24"/>
          <w:lang w:eastAsia="de-DE"/>
        </w:rPr>
        <w:t xml:space="preserve">Davon können Sie nur 1/3 selbst nutzen, den Rest müssen Sie verkaufen oder in einem teuren Speicher zwischenlagern. Der hilft ihnen aber nicht über </w:t>
      </w:r>
      <w:r w:rsidR="005152CC">
        <w:rPr>
          <w:rFonts w:eastAsiaTheme="minorEastAsia" w:hAnsi="Calibri"/>
          <w:color w:val="000000" w:themeColor="text1"/>
          <w:kern w:val="24"/>
          <w:lang w:eastAsia="de-DE"/>
        </w:rPr>
        <w:t>Frühjahr und</w:t>
      </w:r>
      <w:r w:rsidRPr="00686EA5">
        <w:rPr>
          <w:rFonts w:eastAsiaTheme="minorEastAsia" w:hAnsi="Calibri"/>
          <w:color w:val="000000" w:themeColor="text1"/>
          <w:kern w:val="24"/>
          <w:lang w:eastAsia="de-DE"/>
        </w:rPr>
        <w:t xml:space="preserve"> Winter. </w:t>
      </w:r>
      <w:r>
        <w:rPr>
          <w:rFonts w:eastAsiaTheme="minorEastAsia" w:hAnsi="Calibri"/>
          <w:color w:val="000000" w:themeColor="text1"/>
          <w:kern w:val="24"/>
          <w:lang w:eastAsia="de-DE"/>
        </w:rPr>
        <w:br/>
        <w:t>d</w:t>
      </w:r>
      <w:r w:rsidRPr="00686EA5">
        <w:rPr>
          <w:rFonts w:eastAsiaTheme="minorEastAsia" w:hAnsi="Calibri"/>
          <w:color w:val="000000" w:themeColor="text1"/>
          <w:kern w:val="24"/>
          <w:lang w:eastAsia="de-DE"/>
        </w:rPr>
        <w:t xml:space="preserve">.h. </w:t>
      </w:r>
      <w:r w:rsidRPr="00686EA5">
        <w:rPr>
          <w:rFonts w:eastAsiaTheme="minorEastAsia" w:hAnsi="Calibri"/>
          <w:b/>
          <w:bCs/>
          <w:color w:val="000000" w:themeColor="text1"/>
          <w:kern w:val="24"/>
          <w:lang w:eastAsia="de-DE"/>
        </w:rPr>
        <w:t>Sie müssen Strom dazukaufen.</w:t>
      </w:r>
    </w:p>
    <w:p w14:paraId="77047976" w14:textId="77777777" w:rsidR="00634108" w:rsidRDefault="00634108" w:rsidP="00686EA5">
      <w:pPr>
        <w:pStyle w:val="StandardWeb"/>
        <w:spacing w:before="0" w:beforeAutospacing="0" w:after="0" w:afterAutospacing="0"/>
      </w:pPr>
    </w:p>
    <w:p w14:paraId="40778E8A" w14:textId="336C1DD6" w:rsidR="00686EA5" w:rsidRPr="00634108" w:rsidRDefault="00634108" w:rsidP="00686EA5">
      <w:pPr>
        <w:pStyle w:val="StandardWeb"/>
        <w:spacing w:before="0" w:beforeAutospacing="0" w:after="0" w:afterAutospacing="0"/>
        <w:rPr>
          <w:u w:val="single"/>
        </w:rPr>
      </w:pPr>
      <w:r w:rsidRPr="00634108">
        <w:rPr>
          <w:u w:val="single"/>
        </w:rPr>
        <w:t>Verbrauch über den Tag eines durchschnittlichen Haushalts mit 3500 kWh/Jahr</w:t>
      </w:r>
    </w:p>
    <w:p w14:paraId="09C21B65" w14:textId="6B621C51" w:rsidR="00634108" w:rsidRDefault="00634108" w:rsidP="00686EA5">
      <w:pPr>
        <w:pStyle w:val="StandardWeb"/>
        <w:spacing w:before="0" w:beforeAutospacing="0" w:after="0" w:afterAutospacing="0"/>
      </w:pPr>
      <w:r>
        <w:rPr>
          <w:noProof/>
        </w:rPr>
        <w:drawing>
          <wp:anchor distT="0" distB="0" distL="114300" distR="114300" simplePos="0" relativeHeight="251661312" behindDoc="0" locked="0" layoutInCell="1" allowOverlap="1" wp14:anchorId="4C176951" wp14:editId="50AA03DE">
            <wp:simplePos x="0" y="0"/>
            <wp:positionH relativeFrom="margin">
              <wp:posOffset>-635</wp:posOffset>
            </wp:positionH>
            <wp:positionV relativeFrom="paragraph">
              <wp:posOffset>83820</wp:posOffset>
            </wp:positionV>
            <wp:extent cx="5928360" cy="2042160"/>
            <wp:effectExtent l="0" t="0" r="0" b="0"/>
            <wp:wrapNone/>
            <wp:docPr id="5" name="Grafik 4">
              <a:extLst xmlns:a="http://schemas.openxmlformats.org/drawingml/2006/main">
                <a:ext uri="{FF2B5EF4-FFF2-40B4-BE49-F238E27FC236}">
                  <a16:creationId xmlns:a16="http://schemas.microsoft.com/office/drawing/2014/main" id="{776C8BB2-AF4F-404E-8968-C36C4DCD77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a:extLst>
                        <a:ext uri="{FF2B5EF4-FFF2-40B4-BE49-F238E27FC236}">
                          <a16:creationId xmlns:a16="http://schemas.microsoft.com/office/drawing/2014/main" id="{776C8BB2-AF4F-404E-8968-C36C4DCD7756}"/>
                        </a:ext>
                      </a:extLst>
                    </pic:cNvPr>
                    <pic:cNvPicPr>
                      <a:picLocks noChangeAspect="1"/>
                    </pic:cNvPicPr>
                  </pic:nvPicPr>
                  <pic:blipFill>
                    <a:blip r:embed="rId7"/>
                    <a:stretch>
                      <a:fillRect/>
                    </a:stretch>
                  </pic:blipFill>
                  <pic:spPr>
                    <a:xfrm>
                      <a:off x="0" y="0"/>
                      <a:ext cx="5928360" cy="2042160"/>
                    </a:xfrm>
                    <a:prstGeom prst="rect">
                      <a:avLst/>
                    </a:prstGeom>
                  </pic:spPr>
                </pic:pic>
              </a:graphicData>
            </a:graphic>
            <wp14:sizeRelH relativeFrom="margin">
              <wp14:pctWidth>0</wp14:pctWidth>
            </wp14:sizeRelH>
            <wp14:sizeRelV relativeFrom="margin">
              <wp14:pctHeight>0</wp14:pctHeight>
            </wp14:sizeRelV>
          </wp:anchor>
        </w:drawing>
      </w:r>
    </w:p>
    <w:p w14:paraId="30D77BF9" w14:textId="01D9BD16" w:rsidR="00634108" w:rsidRDefault="00634108" w:rsidP="00686EA5">
      <w:pPr>
        <w:pStyle w:val="StandardWeb"/>
        <w:spacing w:before="0" w:beforeAutospacing="0" w:after="0" w:afterAutospacing="0"/>
      </w:pPr>
    </w:p>
    <w:p w14:paraId="1E087E46" w14:textId="72F93120" w:rsidR="00634108" w:rsidRDefault="00634108" w:rsidP="00686EA5">
      <w:pPr>
        <w:pStyle w:val="StandardWeb"/>
        <w:spacing w:before="0" w:beforeAutospacing="0" w:after="0" w:afterAutospacing="0"/>
      </w:pPr>
    </w:p>
    <w:p w14:paraId="4069E893" w14:textId="66598FBD" w:rsidR="00634108" w:rsidRDefault="00634108" w:rsidP="00686EA5">
      <w:pPr>
        <w:pStyle w:val="StandardWeb"/>
        <w:spacing w:before="0" w:beforeAutospacing="0" w:after="0" w:afterAutospacing="0"/>
      </w:pPr>
    </w:p>
    <w:p w14:paraId="7CEADFF9" w14:textId="20BE15AD" w:rsidR="00634108" w:rsidRDefault="00634108" w:rsidP="00686EA5">
      <w:pPr>
        <w:pStyle w:val="StandardWeb"/>
        <w:spacing w:before="0" w:beforeAutospacing="0" w:after="0" w:afterAutospacing="0"/>
      </w:pPr>
    </w:p>
    <w:p w14:paraId="4DC9E9A1" w14:textId="07860DB8" w:rsidR="00634108" w:rsidRDefault="00634108" w:rsidP="00686EA5">
      <w:pPr>
        <w:pStyle w:val="StandardWeb"/>
        <w:spacing w:before="0" w:beforeAutospacing="0" w:after="0" w:afterAutospacing="0"/>
      </w:pPr>
    </w:p>
    <w:p w14:paraId="6E3FE18F" w14:textId="3629E964" w:rsidR="00634108" w:rsidRDefault="00634108" w:rsidP="00686EA5">
      <w:pPr>
        <w:pStyle w:val="StandardWeb"/>
        <w:spacing w:before="0" w:beforeAutospacing="0" w:after="0" w:afterAutospacing="0"/>
      </w:pPr>
    </w:p>
    <w:p w14:paraId="28B7C52A" w14:textId="4CA47571" w:rsidR="00634108" w:rsidRDefault="00634108" w:rsidP="00686EA5">
      <w:pPr>
        <w:pStyle w:val="StandardWeb"/>
        <w:spacing w:before="0" w:beforeAutospacing="0" w:after="0" w:afterAutospacing="0"/>
      </w:pPr>
    </w:p>
    <w:p w14:paraId="6571EEF4" w14:textId="27C94AC3" w:rsidR="00634108" w:rsidRDefault="00634108" w:rsidP="00686EA5">
      <w:pPr>
        <w:pStyle w:val="StandardWeb"/>
        <w:spacing w:before="0" w:beforeAutospacing="0" w:after="0" w:afterAutospacing="0"/>
      </w:pPr>
    </w:p>
    <w:p w14:paraId="2B344F9A" w14:textId="39244A64" w:rsidR="00634108" w:rsidRDefault="00634108" w:rsidP="00686EA5">
      <w:pPr>
        <w:pStyle w:val="StandardWeb"/>
        <w:spacing w:before="0" w:beforeAutospacing="0" w:after="0" w:afterAutospacing="0"/>
      </w:pPr>
    </w:p>
    <w:p w14:paraId="44DCD272" w14:textId="7A12AC81" w:rsidR="00634108" w:rsidRDefault="00634108" w:rsidP="00686EA5">
      <w:pPr>
        <w:pStyle w:val="StandardWeb"/>
        <w:spacing w:before="0" w:beforeAutospacing="0" w:after="0" w:afterAutospacing="0"/>
      </w:pPr>
    </w:p>
    <w:p w14:paraId="2D00A29B" w14:textId="3F9C383A" w:rsidR="00634108" w:rsidRDefault="00634108" w:rsidP="00686EA5">
      <w:pPr>
        <w:pStyle w:val="StandardWeb"/>
        <w:spacing w:before="0" w:beforeAutospacing="0" w:after="0" w:afterAutospacing="0"/>
      </w:pPr>
    </w:p>
    <w:p w14:paraId="7AE63481" w14:textId="1FC7954C" w:rsidR="00634108" w:rsidRDefault="00634108" w:rsidP="00686EA5">
      <w:pPr>
        <w:pStyle w:val="StandardWeb"/>
        <w:spacing w:before="0" w:beforeAutospacing="0" w:after="0" w:afterAutospacing="0"/>
      </w:pPr>
    </w:p>
    <w:p w14:paraId="7E5617F6" w14:textId="72453D55" w:rsidR="00634108" w:rsidRDefault="00634108" w:rsidP="00686EA5">
      <w:pPr>
        <w:pStyle w:val="StandardWeb"/>
        <w:spacing w:before="0" w:beforeAutospacing="0" w:after="0" w:afterAutospacing="0"/>
      </w:pPr>
    </w:p>
    <w:p w14:paraId="1AD8AF31" w14:textId="77777777" w:rsidR="005449DA" w:rsidRDefault="005449DA" w:rsidP="00686EA5">
      <w:pPr>
        <w:pStyle w:val="StandardWeb"/>
        <w:spacing w:before="0" w:beforeAutospacing="0" w:after="0" w:afterAutospacing="0"/>
        <w:rPr>
          <w:b/>
          <w:bCs/>
        </w:rPr>
      </w:pPr>
    </w:p>
    <w:p w14:paraId="0B9351AB" w14:textId="7B9B4950" w:rsidR="005449DA" w:rsidRPr="005449DA" w:rsidRDefault="005449DA" w:rsidP="00686EA5">
      <w:pPr>
        <w:pStyle w:val="StandardWeb"/>
        <w:spacing w:before="0" w:beforeAutospacing="0" w:after="0" w:afterAutospacing="0"/>
        <w:rPr>
          <w:b/>
          <w:bCs/>
          <w:u w:val="single"/>
        </w:rPr>
      </w:pPr>
      <w:r w:rsidRPr="005449DA">
        <w:rPr>
          <w:b/>
          <w:bCs/>
          <w:u w:val="single"/>
        </w:rPr>
        <w:lastRenderedPageBreak/>
        <w:t xml:space="preserve">Verbrauch / </w:t>
      </w:r>
      <w:proofErr w:type="spellStart"/>
      <w:r w:rsidRPr="005449DA">
        <w:rPr>
          <w:b/>
          <w:bCs/>
          <w:u w:val="single"/>
        </w:rPr>
        <w:t>Investbetrachtung</w:t>
      </w:r>
      <w:proofErr w:type="spellEnd"/>
    </w:p>
    <w:p w14:paraId="712E4B70" w14:textId="77777777" w:rsidR="005449DA" w:rsidRDefault="005449DA" w:rsidP="00686EA5">
      <w:pPr>
        <w:pStyle w:val="StandardWeb"/>
        <w:spacing w:before="0" w:beforeAutospacing="0" w:after="0" w:afterAutospacing="0"/>
        <w:rPr>
          <w:b/>
          <w:bCs/>
        </w:rPr>
      </w:pPr>
    </w:p>
    <w:p w14:paraId="30F9FDB0" w14:textId="2DB0C2CF" w:rsidR="00634108" w:rsidRPr="005449DA" w:rsidRDefault="00634108" w:rsidP="00686EA5">
      <w:pPr>
        <w:pStyle w:val="StandardWeb"/>
        <w:spacing w:before="0" w:beforeAutospacing="0" w:after="0" w:afterAutospacing="0"/>
        <w:rPr>
          <w:b/>
          <w:bCs/>
        </w:rPr>
      </w:pPr>
      <w:r w:rsidRPr="005449DA">
        <w:rPr>
          <w:b/>
          <w:bCs/>
          <w:noProof/>
        </w:rPr>
        <w:drawing>
          <wp:inline distT="0" distB="0" distL="0" distR="0" wp14:anchorId="0C1E6294" wp14:editId="68DCE9AD">
            <wp:extent cx="5922119" cy="3634740"/>
            <wp:effectExtent l="0" t="0" r="254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27101" cy="3637798"/>
                    </a:xfrm>
                    <a:prstGeom prst="rect">
                      <a:avLst/>
                    </a:prstGeom>
                  </pic:spPr>
                </pic:pic>
              </a:graphicData>
            </a:graphic>
          </wp:inline>
        </w:drawing>
      </w:r>
    </w:p>
    <w:p w14:paraId="017769D1" w14:textId="4529B2C8" w:rsidR="00634108" w:rsidRDefault="00634108" w:rsidP="00686EA5">
      <w:pPr>
        <w:pStyle w:val="StandardWeb"/>
        <w:spacing w:before="0" w:beforeAutospacing="0" w:after="0" w:afterAutospacing="0"/>
      </w:pPr>
    </w:p>
    <w:p w14:paraId="6BBC6C9C" w14:textId="285E35AE" w:rsidR="00634108" w:rsidRDefault="00634108" w:rsidP="00686EA5">
      <w:pPr>
        <w:pStyle w:val="StandardWeb"/>
        <w:spacing w:before="0" w:beforeAutospacing="0" w:after="0" w:afterAutospacing="0"/>
      </w:pPr>
      <w:r>
        <w:t>Da ein Speicher für eine so kleine Anlage nicht rentabel arbeiten kann, muss der Überschuss-Strom eingespeist / Verkauft werden und der fehlende Teil zugekauft werden.</w:t>
      </w:r>
    </w:p>
    <w:p w14:paraId="413E2163" w14:textId="0793B041" w:rsidR="00634108" w:rsidRDefault="00634108" w:rsidP="00686EA5">
      <w:pPr>
        <w:pStyle w:val="StandardWeb"/>
        <w:spacing w:before="0" w:beforeAutospacing="0" w:after="0" w:afterAutospacing="0"/>
      </w:pPr>
    </w:p>
    <w:p w14:paraId="1E2665A8" w14:textId="443076FF" w:rsidR="005449DA" w:rsidRDefault="005449DA" w:rsidP="005449DA">
      <w:pPr>
        <w:pStyle w:val="StandardWeb"/>
        <w:spacing w:before="0" w:beforeAutospacing="0" w:after="0" w:afterAutospacing="0"/>
        <w:rPr>
          <w:b/>
          <w:bCs/>
        </w:rPr>
      </w:pPr>
      <w:bookmarkStart w:id="0" w:name="_Hlk52640282"/>
      <w:r>
        <w:rPr>
          <w:b/>
          <w:bCs/>
        </w:rPr>
        <w:t>Alte Anl</w:t>
      </w:r>
      <w:r w:rsidRPr="005449DA">
        <w:rPr>
          <w:b/>
          <w:bCs/>
        </w:rPr>
        <w:t>age</w:t>
      </w:r>
      <w:r>
        <w:br/>
        <w:t xml:space="preserve">Zukauf </w:t>
      </w:r>
      <w:r>
        <w:tab/>
        <w:t xml:space="preserve">1651 kWh  </w:t>
      </w:r>
      <w:r>
        <w:tab/>
      </w:r>
      <w:r>
        <w:tab/>
        <w:t>E.ON Bonustarif</w:t>
      </w:r>
      <w:r>
        <w:tab/>
        <w:t xml:space="preserve">  428 Euro</w:t>
      </w:r>
      <w:r>
        <w:br/>
        <w:t xml:space="preserve">Verkauf </w:t>
      </w:r>
      <w:r>
        <w:tab/>
        <w:t xml:space="preserve">2774 kWh  </w:t>
      </w:r>
      <w:r>
        <w:tab/>
        <w:t>x  2,90 ct/kWh       Netz</w:t>
      </w:r>
      <w:r>
        <w:tab/>
        <w:t>-  80 Euro</w:t>
      </w:r>
      <w:r>
        <w:br/>
        <w:t>In</w:t>
      </w:r>
      <w:r w:rsidR="00102AD1">
        <w:t>v</w:t>
      </w:r>
      <w:r>
        <w:t>est</w:t>
      </w:r>
      <w:r w:rsidR="00102AD1">
        <w:t>ition</w:t>
      </w:r>
      <w:r>
        <w:t xml:space="preserve"> </w:t>
      </w:r>
      <w:r>
        <w:tab/>
        <w:t>alt</w:t>
      </w:r>
      <w:r>
        <w:tab/>
        <w:t>Zählerumbau</w:t>
      </w:r>
      <w:r>
        <w:tab/>
      </w:r>
      <w:r>
        <w:tab/>
        <w:t>1.200 Euro /10 Jahre</w:t>
      </w:r>
      <w:r>
        <w:tab/>
        <w:t xml:space="preserve">  120 Euro</w:t>
      </w:r>
      <w:r>
        <w:br/>
      </w:r>
      <w:r>
        <w:tab/>
      </w:r>
      <w:r>
        <w:tab/>
      </w:r>
      <w:r>
        <w:tab/>
      </w:r>
      <w:r>
        <w:tab/>
      </w:r>
      <w:r>
        <w:tab/>
      </w:r>
      <w:r>
        <w:tab/>
      </w:r>
      <w:r>
        <w:tab/>
      </w:r>
      <w:r>
        <w:tab/>
        <w:t xml:space="preserve">  </w:t>
      </w:r>
      <w:r>
        <w:rPr>
          <w:b/>
          <w:bCs/>
        </w:rPr>
        <w:t>468</w:t>
      </w:r>
      <w:r w:rsidRPr="00177788">
        <w:rPr>
          <w:b/>
          <w:bCs/>
        </w:rPr>
        <w:t xml:space="preserve"> Euro</w:t>
      </w:r>
    </w:p>
    <w:p w14:paraId="4216B10D" w14:textId="7624A9BF" w:rsidR="005449DA" w:rsidRDefault="005449DA" w:rsidP="005449DA">
      <w:pPr>
        <w:pStyle w:val="StandardWeb"/>
        <w:spacing w:before="0" w:beforeAutospacing="0" w:after="0" w:afterAutospacing="0"/>
      </w:pPr>
      <w:r w:rsidRPr="005449DA">
        <w:t>Vollversorgung 3500 kWh</w:t>
      </w:r>
      <w:r w:rsidRPr="005449DA">
        <w:tab/>
      </w:r>
      <w:r w:rsidRPr="005449DA">
        <w:tab/>
      </w:r>
      <w:proofErr w:type="spellStart"/>
      <w:r w:rsidRPr="005449DA">
        <w:t>E.On</w:t>
      </w:r>
      <w:proofErr w:type="spellEnd"/>
      <w:r w:rsidRPr="005449DA">
        <w:t xml:space="preserve"> Bonustarif</w:t>
      </w:r>
      <w:r w:rsidRPr="005449DA">
        <w:tab/>
        <w:t xml:space="preserve">  772 Euro</w:t>
      </w:r>
      <w:r>
        <w:br/>
      </w:r>
      <w:r>
        <w:tab/>
      </w:r>
      <w:r>
        <w:tab/>
      </w:r>
      <w:r>
        <w:tab/>
      </w:r>
      <w:r>
        <w:tab/>
      </w:r>
      <w:r>
        <w:tab/>
      </w:r>
      <w:r>
        <w:tab/>
      </w:r>
      <w:r>
        <w:tab/>
      </w:r>
      <w:r>
        <w:tab/>
        <w:t xml:space="preserve">  </w:t>
      </w:r>
      <w:r>
        <w:rPr>
          <w:b/>
          <w:bCs/>
        </w:rPr>
        <w:t>30</w:t>
      </w:r>
      <w:r w:rsidRPr="005449DA">
        <w:rPr>
          <w:b/>
          <w:bCs/>
        </w:rPr>
        <w:t>4 Euro</w:t>
      </w:r>
      <w:r>
        <w:t xml:space="preserve"> Rendite / Jahr</w:t>
      </w:r>
      <w:r>
        <w:tab/>
      </w:r>
    </w:p>
    <w:p w14:paraId="56C3E9EA" w14:textId="77777777" w:rsidR="005449DA" w:rsidRPr="005449DA" w:rsidRDefault="005449DA" w:rsidP="005449DA">
      <w:pPr>
        <w:pStyle w:val="StandardWeb"/>
        <w:spacing w:before="0" w:beforeAutospacing="0" w:after="0" w:afterAutospacing="0"/>
      </w:pPr>
    </w:p>
    <w:p w14:paraId="47DD668F" w14:textId="1B92DA92" w:rsidR="00634108" w:rsidRDefault="005449DA" w:rsidP="00686EA5">
      <w:pPr>
        <w:pStyle w:val="StandardWeb"/>
        <w:spacing w:before="0" w:beforeAutospacing="0" w:after="0" w:afterAutospacing="0"/>
        <w:rPr>
          <w:b/>
          <w:bCs/>
        </w:rPr>
      </w:pPr>
      <w:r w:rsidRPr="005449DA">
        <w:rPr>
          <w:b/>
          <w:bCs/>
        </w:rPr>
        <w:t>Neuanlage</w:t>
      </w:r>
      <w:r>
        <w:br/>
      </w:r>
      <w:r w:rsidR="00634108">
        <w:t xml:space="preserve">Zukauf </w:t>
      </w:r>
      <w:r w:rsidR="00634108">
        <w:tab/>
        <w:t xml:space="preserve">1651 kWh  </w:t>
      </w:r>
      <w:r w:rsidR="00634108">
        <w:tab/>
      </w:r>
      <w:r w:rsidR="00634108">
        <w:tab/>
        <w:t>E.ON Bonustarif</w:t>
      </w:r>
      <w:r w:rsidR="00634108">
        <w:tab/>
      </w:r>
      <w:r w:rsidR="00177788">
        <w:t xml:space="preserve">  </w:t>
      </w:r>
      <w:r w:rsidR="00634108">
        <w:t>428 Euro</w:t>
      </w:r>
      <w:r w:rsidR="00634108">
        <w:br/>
        <w:t xml:space="preserve">Verkauf </w:t>
      </w:r>
      <w:r w:rsidR="00634108">
        <w:tab/>
        <w:t xml:space="preserve">2774 kWh  </w:t>
      </w:r>
      <w:r w:rsidR="00177788">
        <w:tab/>
        <w:t>x  8,64 ct/kWh       Netz</w:t>
      </w:r>
      <w:r w:rsidR="00177788">
        <w:tab/>
        <w:t>- 240 Euro</w:t>
      </w:r>
      <w:r w:rsidR="00177788">
        <w:br/>
        <w:t>In</w:t>
      </w:r>
      <w:r w:rsidR="00102AD1">
        <w:t>v</w:t>
      </w:r>
      <w:r w:rsidR="00177788">
        <w:t>est</w:t>
      </w:r>
      <w:r w:rsidR="00102AD1">
        <w:t>ition</w:t>
      </w:r>
      <w:r w:rsidR="00177788">
        <w:t xml:space="preserve"> </w:t>
      </w:r>
      <w:r w:rsidR="00177788">
        <w:tab/>
      </w:r>
      <w:r>
        <w:t>neu</w:t>
      </w:r>
      <w:r w:rsidR="00177788">
        <w:tab/>
        <w:t>5 kWp</w:t>
      </w:r>
      <w:r w:rsidR="00177788">
        <w:tab/>
      </w:r>
      <w:r w:rsidR="00177788">
        <w:tab/>
        <w:t>7.800 Euro /20 Jahre</w:t>
      </w:r>
      <w:r w:rsidR="00177788">
        <w:tab/>
      </w:r>
      <w:r w:rsidR="00177788">
        <w:tab/>
        <w:t xml:space="preserve">  360 Euro</w:t>
      </w:r>
      <w:r w:rsidR="00177788">
        <w:br/>
      </w:r>
      <w:r w:rsidR="00177788">
        <w:tab/>
      </w:r>
      <w:r w:rsidR="00177788">
        <w:tab/>
      </w:r>
      <w:r w:rsidR="00177788">
        <w:tab/>
      </w:r>
      <w:r w:rsidR="00177788">
        <w:tab/>
      </w:r>
      <w:r w:rsidR="00177788">
        <w:tab/>
      </w:r>
      <w:r w:rsidR="00177788">
        <w:tab/>
      </w:r>
      <w:r w:rsidR="00177788">
        <w:tab/>
      </w:r>
      <w:r w:rsidR="00177788">
        <w:tab/>
        <w:t xml:space="preserve">  </w:t>
      </w:r>
      <w:r w:rsidR="00177788" w:rsidRPr="00177788">
        <w:rPr>
          <w:b/>
          <w:bCs/>
        </w:rPr>
        <w:t>548 Euro</w:t>
      </w:r>
    </w:p>
    <w:p w14:paraId="55D6BCA7" w14:textId="0AEB64C0" w:rsidR="00177788" w:rsidRPr="005449DA" w:rsidRDefault="005449DA" w:rsidP="00686EA5">
      <w:pPr>
        <w:pStyle w:val="StandardWeb"/>
        <w:spacing w:before="0" w:beforeAutospacing="0" w:after="0" w:afterAutospacing="0"/>
      </w:pPr>
      <w:r w:rsidRPr="005449DA">
        <w:t>Vollversorgung 3500 kWh</w:t>
      </w:r>
      <w:r w:rsidRPr="005449DA">
        <w:tab/>
      </w:r>
      <w:r w:rsidRPr="005449DA">
        <w:tab/>
      </w:r>
      <w:proofErr w:type="spellStart"/>
      <w:r w:rsidRPr="005449DA">
        <w:t>E.On</w:t>
      </w:r>
      <w:proofErr w:type="spellEnd"/>
      <w:r w:rsidRPr="005449DA">
        <w:t xml:space="preserve"> Bonustarif</w:t>
      </w:r>
      <w:r w:rsidRPr="005449DA">
        <w:tab/>
        <w:t xml:space="preserve">  772 Euro</w:t>
      </w:r>
      <w:r>
        <w:br/>
      </w:r>
      <w:r>
        <w:tab/>
      </w:r>
      <w:r>
        <w:tab/>
      </w:r>
      <w:r>
        <w:tab/>
      </w:r>
      <w:r>
        <w:tab/>
      </w:r>
      <w:r>
        <w:tab/>
      </w:r>
      <w:r>
        <w:tab/>
      </w:r>
      <w:r>
        <w:tab/>
      </w:r>
      <w:r>
        <w:tab/>
        <w:t xml:space="preserve">  </w:t>
      </w:r>
      <w:r w:rsidRPr="005449DA">
        <w:rPr>
          <w:b/>
          <w:bCs/>
        </w:rPr>
        <w:t>224 Euro</w:t>
      </w:r>
      <w:r>
        <w:t xml:space="preserve"> Rendite / Jahr</w:t>
      </w:r>
      <w:r>
        <w:tab/>
      </w:r>
      <w:bookmarkEnd w:id="0"/>
    </w:p>
    <w:sectPr w:rsidR="00177788" w:rsidRPr="005449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DF61F4"/>
    <w:multiLevelType w:val="hybridMultilevel"/>
    <w:tmpl w:val="28A21E6A"/>
    <w:lvl w:ilvl="0" w:tplc="2E82988C">
      <w:start w:val="1"/>
      <w:numFmt w:val="decimal"/>
      <w:lvlText w:val="%1."/>
      <w:lvlJc w:val="left"/>
      <w:pPr>
        <w:tabs>
          <w:tab w:val="num" w:pos="720"/>
        </w:tabs>
        <w:ind w:left="720" w:hanging="360"/>
      </w:pPr>
    </w:lvl>
    <w:lvl w:ilvl="1" w:tplc="9CFE690A" w:tentative="1">
      <w:start w:val="1"/>
      <w:numFmt w:val="decimal"/>
      <w:lvlText w:val="%2."/>
      <w:lvlJc w:val="left"/>
      <w:pPr>
        <w:tabs>
          <w:tab w:val="num" w:pos="1440"/>
        </w:tabs>
        <w:ind w:left="1440" w:hanging="360"/>
      </w:pPr>
    </w:lvl>
    <w:lvl w:ilvl="2" w:tplc="193A310A" w:tentative="1">
      <w:start w:val="1"/>
      <w:numFmt w:val="decimal"/>
      <w:lvlText w:val="%3."/>
      <w:lvlJc w:val="left"/>
      <w:pPr>
        <w:tabs>
          <w:tab w:val="num" w:pos="2160"/>
        </w:tabs>
        <w:ind w:left="2160" w:hanging="360"/>
      </w:pPr>
    </w:lvl>
    <w:lvl w:ilvl="3" w:tplc="CA9C707E" w:tentative="1">
      <w:start w:val="1"/>
      <w:numFmt w:val="decimal"/>
      <w:lvlText w:val="%4."/>
      <w:lvlJc w:val="left"/>
      <w:pPr>
        <w:tabs>
          <w:tab w:val="num" w:pos="2880"/>
        </w:tabs>
        <w:ind w:left="2880" w:hanging="360"/>
      </w:pPr>
    </w:lvl>
    <w:lvl w:ilvl="4" w:tplc="28C0A306" w:tentative="1">
      <w:start w:val="1"/>
      <w:numFmt w:val="decimal"/>
      <w:lvlText w:val="%5."/>
      <w:lvlJc w:val="left"/>
      <w:pPr>
        <w:tabs>
          <w:tab w:val="num" w:pos="3600"/>
        </w:tabs>
        <w:ind w:left="3600" w:hanging="360"/>
      </w:pPr>
    </w:lvl>
    <w:lvl w:ilvl="5" w:tplc="9228A65A" w:tentative="1">
      <w:start w:val="1"/>
      <w:numFmt w:val="decimal"/>
      <w:lvlText w:val="%6."/>
      <w:lvlJc w:val="left"/>
      <w:pPr>
        <w:tabs>
          <w:tab w:val="num" w:pos="4320"/>
        </w:tabs>
        <w:ind w:left="4320" w:hanging="360"/>
      </w:pPr>
    </w:lvl>
    <w:lvl w:ilvl="6" w:tplc="718228D8" w:tentative="1">
      <w:start w:val="1"/>
      <w:numFmt w:val="decimal"/>
      <w:lvlText w:val="%7."/>
      <w:lvlJc w:val="left"/>
      <w:pPr>
        <w:tabs>
          <w:tab w:val="num" w:pos="5040"/>
        </w:tabs>
        <w:ind w:left="5040" w:hanging="360"/>
      </w:pPr>
    </w:lvl>
    <w:lvl w:ilvl="7" w:tplc="6BC2733E" w:tentative="1">
      <w:start w:val="1"/>
      <w:numFmt w:val="decimal"/>
      <w:lvlText w:val="%8."/>
      <w:lvlJc w:val="left"/>
      <w:pPr>
        <w:tabs>
          <w:tab w:val="num" w:pos="5760"/>
        </w:tabs>
        <w:ind w:left="5760" w:hanging="360"/>
      </w:pPr>
    </w:lvl>
    <w:lvl w:ilvl="8" w:tplc="7F069D6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C4C"/>
    <w:rsid w:val="00043EE7"/>
    <w:rsid w:val="00102AD1"/>
    <w:rsid w:val="00177788"/>
    <w:rsid w:val="003A121A"/>
    <w:rsid w:val="00421F81"/>
    <w:rsid w:val="004A073E"/>
    <w:rsid w:val="004F284B"/>
    <w:rsid w:val="005152CC"/>
    <w:rsid w:val="005449DA"/>
    <w:rsid w:val="005A615F"/>
    <w:rsid w:val="00634108"/>
    <w:rsid w:val="00686EA5"/>
    <w:rsid w:val="006C04F2"/>
    <w:rsid w:val="0075096A"/>
    <w:rsid w:val="007C244E"/>
    <w:rsid w:val="008A24AB"/>
    <w:rsid w:val="0090782A"/>
    <w:rsid w:val="00917C4C"/>
    <w:rsid w:val="00975BBC"/>
    <w:rsid w:val="00976AAE"/>
    <w:rsid w:val="009D48E1"/>
    <w:rsid w:val="00B64669"/>
    <w:rsid w:val="00BB514D"/>
    <w:rsid w:val="00C60A35"/>
    <w:rsid w:val="00CB4BD3"/>
    <w:rsid w:val="00F90936"/>
    <w:rsid w:val="00FC69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780E0"/>
  <w15:chartTrackingRefBased/>
  <w15:docId w15:val="{FC2FF1E9-247C-4425-9124-5EB5C557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17C4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917C4C"/>
    <w:pPr>
      <w:spacing w:after="0" w:line="240" w:lineRule="auto"/>
      <w:ind w:left="720"/>
      <w:contextualSpacing/>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8A24AB"/>
    <w:rPr>
      <w:color w:val="0563C1" w:themeColor="hyperlink"/>
      <w:u w:val="single"/>
    </w:rPr>
  </w:style>
  <w:style w:type="character" w:styleId="NichtaufgelsteErwhnung">
    <w:name w:val="Unresolved Mention"/>
    <w:basedOn w:val="Absatz-Standardschriftart"/>
    <w:uiPriority w:val="99"/>
    <w:semiHidden/>
    <w:unhideWhenUsed/>
    <w:rsid w:val="008A24AB"/>
    <w:rPr>
      <w:color w:val="605E5C"/>
      <w:shd w:val="clear" w:color="auto" w:fill="E1DFDD"/>
    </w:rPr>
  </w:style>
  <w:style w:type="character" w:styleId="BesuchterLink">
    <w:name w:val="FollowedHyperlink"/>
    <w:basedOn w:val="Absatz-Standardschriftart"/>
    <w:uiPriority w:val="99"/>
    <w:semiHidden/>
    <w:unhideWhenUsed/>
    <w:rsid w:val="003A12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900355">
      <w:bodyDiv w:val="1"/>
      <w:marLeft w:val="0"/>
      <w:marRight w:val="0"/>
      <w:marTop w:val="0"/>
      <w:marBottom w:val="0"/>
      <w:divBdr>
        <w:top w:val="none" w:sz="0" w:space="0" w:color="auto"/>
        <w:left w:val="none" w:sz="0" w:space="0" w:color="auto"/>
        <w:bottom w:val="none" w:sz="0" w:space="0" w:color="auto"/>
        <w:right w:val="none" w:sz="0" w:space="0" w:color="auto"/>
      </w:divBdr>
    </w:div>
    <w:div w:id="799038578">
      <w:bodyDiv w:val="1"/>
      <w:marLeft w:val="0"/>
      <w:marRight w:val="0"/>
      <w:marTop w:val="0"/>
      <w:marBottom w:val="0"/>
      <w:divBdr>
        <w:top w:val="none" w:sz="0" w:space="0" w:color="auto"/>
        <w:left w:val="none" w:sz="0" w:space="0" w:color="auto"/>
        <w:bottom w:val="none" w:sz="0" w:space="0" w:color="auto"/>
        <w:right w:val="none" w:sz="0" w:space="0" w:color="auto"/>
      </w:divBdr>
    </w:div>
    <w:div w:id="1113674441">
      <w:bodyDiv w:val="1"/>
      <w:marLeft w:val="0"/>
      <w:marRight w:val="0"/>
      <w:marTop w:val="0"/>
      <w:marBottom w:val="0"/>
      <w:divBdr>
        <w:top w:val="none" w:sz="0" w:space="0" w:color="auto"/>
        <w:left w:val="none" w:sz="0" w:space="0" w:color="auto"/>
        <w:bottom w:val="none" w:sz="0" w:space="0" w:color="auto"/>
        <w:right w:val="none" w:sz="0" w:space="0" w:color="auto"/>
      </w:divBdr>
    </w:div>
    <w:div w:id="1461145688">
      <w:bodyDiv w:val="1"/>
      <w:marLeft w:val="0"/>
      <w:marRight w:val="0"/>
      <w:marTop w:val="0"/>
      <w:marBottom w:val="0"/>
      <w:divBdr>
        <w:top w:val="none" w:sz="0" w:space="0" w:color="auto"/>
        <w:left w:val="none" w:sz="0" w:space="0" w:color="auto"/>
        <w:bottom w:val="none" w:sz="0" w:space="0" w:color="auto"/>
        <w:right w:val="none" w:sz="0" w:space="0" w:color="auto"/>
      </w:divBdr>
      <w:divsChild>
        <w:div w:id="1909419529">
          <w:marLeft w:val="360"/>
          <w:marRight w:val="0"/>
          <w:marTop w:val="0"/>
          <w:marBottom w:val="0"/>
          <w:divBdr>
            <w:top w:val="none" w:sz="0" w:space="0" w:color="auto"/>
            <w:left w:val="none" w:sz="0" w:space="0" w:color="auto"/>
            <w:bottom w:val="none" w:sz="0" w:space="0" w:color="auto"/>
            <w:right w:val="none" w:sz="0" w:space="0" w:color="auto"/>
          </w:divBdr>
        </w:div>
        <w:div w:id="1920018678">
          <w:marLeft w:val="360"/>
          <w:marRight w:val="0"/>
          <w:marTop w:val="0"/>
          <w:marBottom w:val="0"/>
          <w:divBdr>
            <w:top w:val="none" w:sz="0" w:space="0" w:color="auto"/>
            <w:left w:val="none" w:sz="0" w:space="0" w:color="auto"/>
            <w:bottom w:val="none" w:sz="0" w:space="0" w:color="auto"/>
            <w:right w:val="none" w:sz="0" w:space="0" w:color="auto"/>
          </w:divBdr>
        </w:div>
        <w:div w:id="927495387">
          <w:marLeft w:val="360"/>
          <w:marRight w:val="0"/>
          <w:marTop w:val="0"/>
          <w:marBottom w:val="0"/>
          <w:divBdr>
            <w:top w:val="none" w:sz="0" w:space="0" w:color="auto"/>
            <w:left w:val="none" w:sz="0" w:space="0" w:color="auto"/>
            <w:bottom w:val="none" w:sz="0" w:space="0" w:color="auto"/>
            <w:right w:val="none" w:sz="0" w:space="0" w:color="auto"/>
          </w:divBdr>
        </w:div>
        <w:div w:id="494758628">
          <w:marLeft w:val="360"/>
          <w:marRight w:val="0"/>
          <w:marTop w:val="0"/>
          <w:marBottom w:val="0"/>
          <w:divBdr>
            <w:top w:val="none" w:sz="0" w:space="0" w:color="auto"/>
            <w:left w:val="none" w:sz="0" w:space="0" w:color="auto"/>
            <w:bottom w:val="none" w:sz="0" w:space="0" w:color="auto"/>
            <w:right w:val="none" w:sz="0" w:space="0" w:color="auto"/>
          </w:divBdr>
        </w:div>
      </w:divsChild>
    </w:div>
    <w:div w:id="1788693892">
      <w:bodyDiv w:val="1"/>
      <w:marLeft w:val="0"/>
      <w:marRight w:val="0"/>
      <w:marTop w:val="0"/>
      <w:marBottom w:val="0"/>
      <w:divBdr>
        <w:top w:val="none" w:sz="0" w:space="0" w:color="auto"/>
        <w:left w:val="none" w:sz="0" w:space="0" w:color="auto"/>
        <w:bottom w:val="none" w:sz="0" w:space="0" w:color="auto"/>
        <w:right w:val="none" w:sz="0" w:space="0" w:color="auto"/>
      </w:divBdr>
    </w:div>
    <w:div w:id="201873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setze-im-internet.de/eeg_2014/index.html"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2281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guenter.hinrichs@bezahlbare-energie.de</dc:creator>
  <cp:keywords/>
  <dc:description/>
  <cp:lastModifiedBy>guenter.hinrichs@bezahlbare-energie.de</cp:lastModifiedBy>
  <cp:revision>4</cp:revision>
  <cp:lastPrinted>2020-10-03T12:52:00Z</cp:lastPrinted>
  <dcterms:created xsi:type="dcterms:W3CDTF">2020-10-03T12:53:00Z</dcterms:created>
  <dcterms:modified xsi:type="dcterms:W3CDTF">2020-10-10T15:32:00Z</dcterms:modified>
</cp:coreProperties>
</file>