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0C12" w14:textId="1834562D" w:rsidR="00A07750" w:rsidRPr="00A07750" w:rsidRDefault="00A07750" w:rsidP="00AD1AC0">
      <w:pPr>
        <w:pStyle w:val="StandardWeb"/>
        <w:kinsoku w:val="0"/>
        <w:overflowPunct w:val="0"/>
        <w:spacing w:before="0" w:beforeAutospacing="0" w:after="0" w:afterAutospacing="0"/>
        <w:textAlignment w:val="baseline"/>
        <w:rPr>
          <w:rFonts w:asciiTheme="minorHAnsi" w:eastAsiaTheme="minorEastAsia" w:hAnsiTheme="minorHAnsi" w:cstheme="minorHAnsi"/>
          <w:b/>
          <w:bCs/>
          <w:noProof/>
          <w:color w:val="000000" w:themeColor="text1"/>
          <w:kern w:val="24"/>
        </w:rPr>
      </w:pPr>
      <w:r w:rsidRPr="00A07750">
        <w:rPr>
          <w:rFonts w:asciiTheme="minorHAnsi" w:eastAsiaTheme="minorEastAsia" w:hAnsiTheme="minorHAnsi" w:cstheme="minorHAnsi"/>
          <w:b/>
          <w:bCs/>
          <w:noProof/>
          <w:color w:val="000000" w:themeColor="text1"/>
          <w:kern w:val="24"/>
        </w:rPr>
        <w:t>B3 – Defin</w:t>
      </w:r>
      <w:r>
        <w:rPr>
          <w:rFonts w:asciiTheme="minorHAnsi" w:eastAsiaTheme="minorEastAsia" w:hAnsiTheme="minorHAnsi" w:cstheme="minorHAnsi"/>
          <w:b/>
          <w:bCs/>
          <w:noProof/>
          <w:color w:val="000000" w:themeColor="text1"/>
          <w:kern w:val="24"/>
        </w:rPr>
        <w:t>i</w:t>
      </w:r>
      <w:r w:rsidRPr="00A07750">
        <w:rPr>
          <w:rFonts w:asciiTheme="minorHAnsi" w:eastAsiaTheme="minorEastAsia" w:hAnsiTheme="minorHAnsi" w:cstheme="minorHAnsi"/>
          <w:b/>
          <w:bCs/>
          <w:noProof/>
          <w:color w:val="000000" w:themeColor="text1"/>
          <w:kern w:val="24"/>
        </w:rPr>
        <w:t>tion Gewerbestrom</w:t>
      </w:r>
      <w:r w:rsidRPr="00A07750">
        <w:rPr>
          <w:rFonts w:asciiTheme="minorHAnsi" w:eastAsiaTheme="minorEastAsia" w:hAnsiTheme="minorHAnsi" w:cstheme="minorHAnsi"/>
          <w:b/>
          <w:bCs/>
          <w:noProof/>
          <w:color w:val="000000" w:themeColor="text1"/>
          <w:kern w:val="24"/>
        </w:rPr>
        <w:tab/>
      </w:r>
      <w:r w:rsidRPr="00A07750">
        <w:rPr>
          <w:rFonts w:asciiTheme="minorHAnsi" w:eastAsiaTheme="minorEastAsia" w:hAnsiTheme="minorHAnsi" w:cstheme="minorHAnsi"/>
          <w:b/>
          <w:bCs/>
          <w:noProof/>
          <w:color w:val="000000" w:themeColor="text1"/>
          <w:kern w:val="24"/>
        </w:rPr>
        <w:tab/>
      </w:r>
      <w:r w:rsidRPr="00A07750">
        <w:rPr>
          <w:rFonts w:asciiTheme="minorHAnsi" w:eastAsiaTheme="minorEastAsia" w:hAnsiTheme="minorHAnsi" w:cstheme="minorHAnsi"/>
          <w:b/>
          <w:bCs/>
          <w:noProof/>
          <w:color w:val="000000" w:themeColor="text1"/>
          <w:kern w:val="24"/>
        </w:rPr>
        <w:tab/>
      </w:r>
      <w:r w:rsidRPr="00A07750">
        <w:rPr>
          <w:rFonts w:asciiTheme="minorHAnsi" w:eastAsiaTheme="minorEastAsia" w:hAnsiTheme="minorHAnsi" w:cstheme="minorHAnsi"/>
          <w:b/>
          <w:bCs/>
          <w:noProof/>
          <w:color w:val="000000" w:themeColor="text1"/>
          <w:kern w:val="24"/>
        </w:rPr>
        <w:tab/>
      </w:r>
      <w:r w:rsidRPr="00A07750">
        <w:rPr>
          <w:rFonts w:asciiTheme="minorHAnsi" w:eastAsiaTheme="minorEastAsia" w:hAnsiTheme="minorHAnsi" w:cstheme="minorHAnsi"/>
          <w:b/>
          <w:bCs/>
          <w:noProof/>
          <w:color w:val="000000" w:themeColor="text1"/>
          <w:kern w:val="24"/>
        </w:rPr>
        <w:tab/>
      </w:r>
      <w:r w:rsidRPr="00A07750">
        <w:rPr>
          <w:rFonts w:asciiTheme="minorHAnsi" w:eastAsiaTheme="minorEastAsia" w:hAnsiTheme="minorHAnsi" w:cstheme="minorHAnsi"/>
          <w:b/>
          <w:bCs/>
          <w:noProof/>
          <w:color w:val="000000" w:themeColor="text1"/>
          <w:kern w:val="24"/>
        </w:rPr>
        <w:tab/>
        <w:t>update 01.10.2022</w:t>
      </w:r>
    </w:p>
    <w:p w14:paraId="6FB7469A" w14:textId="77777777" w:rsidR="00A07750" w:rsidRPr="00A07750" w:rsidRDefault="00A07750" w:rsidP="00AD1AC0">
      <w:pPr>
        <w:pStyle w:val="StandardWeb"/>
        <w:kinsoku w:val="0"/>
        <w:overflowPunct w:val="0"/>
        <w:spacing w:before="0" w:beforeAutospacing="0" w:after="0" w:afterAutospacing="0"/>
        <w:textAlignment w:val="baseline"/>
        <w:rPr>
          <w:rFonts w:asciiTheme="minorHAnsi" w:eastAsiaTheme="minorEastAsia" w:hAnsiTheme="minorHAnsi" w:cstheme="minorHAnsi"/>
          <w:b/>
          <w:bCs/>
          <w:noProof/>
          <w:color w:val="000000" w:themeColor="text1"/>
          <w:kern w:val="24"/>
          <w:u w:val="single"/>
        </w:rPr>
      </w:pPr>
    </w:p>
    <w:p w14:paraId="665D260A" w14:textId="5FC823A3" w:rsidR="00510EFE" w:rsidRPr="00A07750" w:rsidRDefault="00A07750" w:rsidP="00AD1AC0">
      <w:pPr>
        <w:pStyle w:val="StandardWeb"/>
        <w:kinsoku w:val="0"/>
        <w:overflowPunct w:val="0"/>
        <w:spacing w:before="0" w:beforeAutospacing="0" w:after="0" w:afterAutospacing="0"/>
        <w:textAlignment w:val="baseline"/>
        <w:rPr>
          <w:rFonts w:asciiTheme="minorHAnsi" w:eastAsiaTheme="minorEastAsia" w:hAnsiTheme="minorHAnsi" w:cstheme="minorHAnsi"/>
          <w:b/>
          <w:bCs/>
          <w:color w:val="C00000"/>
          <w:kern w:val="24"/>
          <w:sz w:val="44"/>
          <w:szCs w:val="44"/>
        </w:rPr>
      </w:pPr>
      <w:r>
        <w:rPr>
          <w:rFonts w:asciiTheme="minorHAnsi" w:eastAsiaTheme="minorEastAsia" w:hAnsiTheme="minorHAnsi" w:cstheme="minorHAnsi"/>
          <w:b/>
          <w:bCs/>
          <w:noProof/>
          <w:color w:val="C00000"/>
          <w:kern w:val="24"/>
          <w:sz w:val="44"/>
          <w:szCs w:val="44"/>
        </w:rPr>
        <w:t xml:space="preserve">Definition </w:t>
      </w:r>
      <w:r w:rsidR="00877BB6" w:rsidRPr="00A07750">
        <w:rPr>
          <w:rFonts w:asciiTheme="minorHAnsi" w:eastAsiaTheme="minorEastAsia" w:hAnsiTheme="minorHAnsi" w:cstheme="minorHAnsi"/>
          <w:b/>
          <w:bCs/>
          <w:noProof/>
          <w:color w:val="C00000"/>
          <w:kern w:val="24"/>
          <w:sz w:val="44"/>
          <w:szCs w:val="44"/>
        </w:rPr>
        <w:t>Gewerbestrom</w:t>
      </w:r>
    </w:p>
    <w:p w14:paraId="0CF2D284" w14:textId="77777777" w:rsidR="00A07750" w:rsidRDefault="00544C3C" w:rsidP="00791166">
      <w:pPr>
        <w:rPr>
          <w:rStyle w:val="hgkelc"/>
        </w:rPr>
      </w:pPr>
      <w:r>
        <w:rPr>
          <w:rFonts w:eastAsiaTheme="minorEastAsia" w:cstheme="minorHAnsi"/>
          <w:b/>
          <w:bCs/>
          <w:color w:val="0070C0"/>
          <w:kern w:val="24"/>
          <w:sz w:val="24"/>
          <w:szCs w:val="24"/>
        </w:rPr>
        <w:br/>
      </w:r>
      <w:r w:rsidRPr="00A07750">
        <w:rPr>
          <w:rStyle w:val="hgkelc"/>
          <w:color w:val="000000" w:themeColor="text1"/>
          <w:sz w:val="24"/>
          <w:szCs w:val="24"/>
        </w:rPr>
        <w:t>Grundsätzlich gilt: Kunden, die selbst ein Gewerbe angemeldet haben</w:t>
      </w:r>
      <w:r w:rsidR="00A07750">
        <w:rPr>
          <w:rStyle w:val="hgkelc"/>
          <w:color w:val="000000" w:themeColor="text1"/>
          <w:sz w:val="24"/>
          <w:szCs w:val="24"/>
        </w:rPr>
        <w:t>,</w:t>
      </w:r>
      <w:r w:rsidR="00A07750" w:rsidRPr="00A07750">
        <w:rPr>
          <w:rStyle w:val="hgkelc"/>
          <w:color w:val="000000" w:themeColor="text1"/>
          <w:sz w:val="24"/>
          <w:szCs w:val="24"/>
        </w:rPr>
        <w:t xml:space="preserve"> </w:t>
      </w:r>
      <w:r w:rsidRPr="00A07750">
        <w:rPr>
          <w:rStyle w:val="hgkelc"/>
          <w:color w:val="000000" w:themeColor="text1"/>
          <w:sz w:val="24"/>
          <w:szCs w:val="24"/>
        </w:rPr>
        <w:t>sind auch beim Strombezug Gewerbekunden</w:t>
      </w:r>
      <w:r w:rsidRPr="00A07750">
        <w:rPr>
          <w:rStyle w:val="hgkelc"/>
          <w:color w:val="000000" w:themeColor="text1"/>
        </w:rPr>
        <w:t xml:space="preserve">. </w:t>
      </w:r>
      <w:r>
        <w:rPr>
          <w:rStyle w:val="hgkelc"/>
        </w:rPr>
        <w:t>Es gibt jedoch Abnehmer, bei denen die Zuordnung nicht immer eindeutig ist,</w:t>
      </w:r>
      <w:r w:rsidR="00A07750">
        <w:rPr>
          <w:rStyle w:val="hgkelc"/>
        </w:rPr>
        <w:t xml:space="preserve"> </w:t>
      </w:r>
      <w:r>
        <w:rPr>
          <w:rStyle w:val="hgkelc"/>
        </w:rPr>
        <w:t>etwa bei Freiberuflern oder Vereinen.</w:t>
      </w:r>
      <w:r w:rsidR="00791166" w:rsidRPr="00791166">
        <w:rPr>
          <w:rStyle w:val="hgkelc"/>
        </w:rPr>
        <w:t xml:space="preserve"> </w:t>
      </w:r>
    </w:p>
    <w:p w14:paraId="722EAF44" w14:textId="7FCF1C0F" w:rsidR="00544C3C" w:rsidRDefault="00791166" w:rsidP="00791166">
      <w:pPr>
        <w:rPr>
          <w:rStyle w:val="hgkelc"/>
        </w:rPr>
      </w:pPr>
      <w:r>
        <w:rPr>
          <w:rStyle w:val="hgkelc"/>
        </w:rPr>
        <w:t>Der Zähler ist beim Netzbetreiber als Gewerbe- Stromzähler oder Privat-</w:t>
      </w:r>
      <w:r w:rsidR="00A07750">
        <w:rPr>
          <w:rStyle w:val="hgkelc"/>
        </w:rPr>
        <w:t xml:space="preserve"> </w:t>
      </w:r>
      <w:r>
        <w:rPr>
          <w:rStyle w:val="hgkelc"/>
        </w:rPr>
        <w:t>Stromzähler eingetragen</w:t>
      </w:r>
    </w:p>
    <w:p w14:paraId="592334B2" w14:textId="02847B4B" w:rsidR="00877BB6" w:rsidRPr="00544C3C" w:rsidRDefault="00877BB6" w:rsidP="00877BB6">
      <w:pPr>
        <w:pStyle w:val="StandardWeb"/>
        <w:numPr>
          <w:ilvl w:val="0"/>
          <w:numId w:val="1"/>
        </w:numPr>
        <w:rPr>
          <w:rFonts w:asciiTheme="minorHAnsi" w:eastAsiaTheme="minorEastAsia" w:hAnsiTheme="minorHAnsi" w:cstheme="minorHAnsi"/>
          <w:b/>
          <w:bCs/>
          <w:color w:val="000000" w:themeColor="text1"/>
          <w:kern w:val="24"/>
        </w:rPr>
      </w:pPr>
      <w:r w:rsidRPr="00544C3C">
        <w:rPr>
          <w:rFonts w:asciiTheme="minorHAnsi" w:eastAsiaTheme="minorEastAsia" w:hAnsiTheme="minorHAnsi" w:cstheme="minorHAnsi"/>
          <w:b/>
          <w:bCs/>
          <w:color w:val="000000" w:themeColor="text1"/>
          <w:kern w:val="24"/>
        </w:rPr>
        <w:t>Definition Gewerbestrom</w:t>
      </w:r>
    </w:p>
    <w:p w14:paraId="0C693DA7" w14:textId="34B38245" w:rsidR="00877BB6" w:rsidRDefault="00877BB6" w:rsidP="00544C3C">
      <w:pPr>
        <w:ind w:left="360"/>
      </w:pPr>
      <w:r>
        <w:t xml:space="preserve">Um Gewerbestrom definieren zu können, muss der Begriff zunächst in seine Bestandteile untergeteilt werden: Gewerbe und </w:t>
      </w:r>
      <w:hyperlink r:id="rId5" w:history="1">
        <w:r>
          <w:rPr>
            <w:rStyle w:val="Hyperlink"/>
          </w:rPr>
          <w:t>Strom</w:t>
        </w:r>
      </w:hyperlink>
      <w:r>
        <w:t>. Unter einem Gewerbe versteht man im Prinzip jede wirtschaftliche Tätigkeit, die auf Dauer das Ziel der Gewinnerzielung verfolgt und auf eigene Rechnung und Verantwortung läuft. Dazu zählen unter anderem Industrie und Handwerk.</w:t>
      </w:r>
      <w:r>
        <w:br/>
      </w:r>
      <w:r>
        <w:br/>
        <w:t>Da sich der Gewerbestrom an sich nicht vom Privatstrom unterscheidet, wird als Gewerbestrom jene elektrische Energie bezeichnet, die zu einem dem Gewerbeverbrauch entsprechenden Gewerbestrompreis an Gewerbetreibende verkauft wird.</w:t>
      </w:r>
    </w:p>
    <w:p w14:paraId="4A3FAB8C" w14:textId="28A876DD" w:rsidR="00877BB6" w:rsidRDefault="00877BB6" w:rsidP="00544C3C">
      <w:pPr>
        <w:pStyle w:val="Listenabsatz"/>
        <w:numPr>
          <w:ilvl w:val="0"/>
          <w:numId w:val="1"/>
        </w:numPr>
        <w:rPr>
          <w:rStyle w:val="hgkelc"/>
        </w:rPr>
      </w:pPr>
      <w:r w:rsidRPr="00544C3C">
        <w:rPr>
          <w:b/>
          <w:bCs/>
          <w:sz w:val="24"/>
          <w:szCs w:val="24"/>
        </w:rPr>
        <w:t>Gewerbestrom beziehen</w:t>
      </w:r>
      <w:r w:rsidRPr="00544C3C">
        <w:rPr>
          <w:sz w:val="24"/>
          <w:szCs w:val="24"/>
        </w:rPr>
        <w:t>,</w:t>
      </w:r>
      <w:r w:rsidR="00544C3C">
        <w:br/>
      </w:r>
      <w:r>
        <w:br/>
      </w:r>
      <w:r>
        <w:rPr>
          <w:rStyle w:val="hgkelc"/>
        </w:rPr>
        <w:t>können Sie als Gewerbetreibender oder kleines Unternehmen in der Regel ab einem Verbrauch von 20.000 kWh im Jahr beziehen. Häufig lohnt sich jedoch ein solcher Tarif erst ab 30.000 bis 50.000 kWh im Jahr.</w:t>
      </w:r>
    </w:p>
    <w:p w14:paraId="07A4EADC" w14:textId="77777777" w:rsidR="00877BB6" w:rsidRDefault="00877BB6" w:rsidP="00544C3C">
      <w:pPr>
        <w:ind w:left="360"/>
        <w:rPr>
          <w:rStyle w:val="hgkelc"/>
        </w:rPr>
      </w:pPr>
      <w:r>
        <w:rPr>
          <w:rStyle w:val="hgkelc"/>
        </w:rPr>
        <w:t xml:space="preserve">Einfach ist es, wenn Sie einen Gewerbeschein verfügen und eine jährliche Abnahmemenge von über 30.000 Kilowattstunden haben. Dann zählen Sie zu den Gewerbekunden. </w:t>
      </w:r>
    </w:p>
    <w:p w14:paraId="5CD2BAF5" w14:textId="77777777" w:rsidR="00877BB6" w:rsidRDefault="00877BB6" w:rsidP="00544C3C">
      <w:pPr>
        <w:ind w:left="360"/>
        <w:rPr>
          <w:rStyle w:val="hgkelc"/>
        </w:rPr>
      </w:pPr>
      <w:bookmarkStart w:id="0" w:name="_Hlk66092675"/>
      <w:r>
        <w:rPr>
          <w:rStyle w:val="hgkelc"/>
        </w:rPr>
        <w:t>Grundsätzlich gilt: Kunden, die selbst ein Gewerbe angemeldet haben – zum Beispiel in Industrie oder Handwerk – sind auch beim Strombezug Gewerbekunden. Es gibt jedoch Abnehmer, bei denen die Zuordnung nicht immer eindeutig ist, etwa bei Freiberuflern oder Vereinen.</w:t>
      </w:r>
    </w:p>
    <w:bookmarkEnd w:id="0"/>
    <w:p w14:paraId="1B5B3C52" w14:textId="07E343A2" w:rsidR="00877BB6" w:rsidRDefault="00877BB6" w:rsidP="00EB712B">
      <w:pPr>
        <w:pStyle w:val="Listenabsatz"/>
        <w:numPr>
          <w:ilvl w:val="0"/>
          <w:numId w:val="1"/>
        </w:numPr>
      </w:pPr>
      <w:r w:rsidRPr="00544C3C">
        <w:rPr>
          <w:rStyle w:val="hgkelc"/>
          <w:b/>
          <w:bCs/>
          <w:sz w:val="24"/>
          <w:szCs w:val="24"/>
        </w:rPr>
        <w:t>Anmeldung / Wechsel</w:t>
      </w:r>
      <w:r w:rsidRPr="00544C3C">
        <w:rPr>
          <w:rStyle w:val="hgkelc"/>
          <w:b/>
          <w:bCs/>
        </w:rPr>
        <w:br/>
      </w:r>
      <w:bookmarkStart w:id="1" w:name="_Hlk66093078"/>
      <w:r>
        <w:rPr>
          <w:rStyle w:val="hgkelc"/>
        </w:rPr>
        <w:t>Der Zähler ist beim Netzbetreiber als Gewerbestromzähler oder Privatstromzähler eingetragen</w:t>
      </w:r>
      <w:bookmarkEnd w:id="1"/>
      <w:r>
        <w:rPr>
          <w:rStyle w:val="hgkelc"/>
        </w:rPr>
        <w:t>.</w:t>
      </w:r>
      <w:r>
        <w:rPr>
          <w:rStyle w:val="hgkelc"/>
        </w:rPr>
        <w:br/>
        <w:t>Somit ist die Bezugsart vorgegeben</w:t>
      </w:r>
      <w:r w:rsidR="00544C3C">
        <w:rPr>
          <w:rStyle w:val="hgkelc"/>
        </w:rPr>
        <w:t>, oder muss beim Netzbetreiber geändert werden.</w:t>
      </w:r>
      <w:r w:rsidR="00544C3C">
        <w:rPr>
          <w:rStyle w:val="hgkelc"/>
        </w:rPr>
        <w:br/>
        <w:t>Es kann sonst zur Ablehnung beim Anbieterwechsel kommen</w:t>
      </w:r>
      <w:r>
        <w:rPr>
          <w:rStyle w:val="hgkelc"/>
        </w:rPr>
        <w:t>.</w:t>
      </w:r>
    </w:p>
    <w:p w14:paraId="74000A43" w14:textId="77777777" w:rsidR="00877BB6" w:rsidRDefault="00877BB6" w:rsidP="00877BB6">
      <w:pPr>
        <w:pStyle w:val="StandardWeb"/>
        <w:rPr>
          <w:rFonts w:asciiTheme="minorHAnsi" w:eastAsiaTheme="minorEastAsia" w:hAnsiTheme="minorHAnsi" w:cstheme="minorHAnsi"/>
          <w:color w:val="000000" w:themeColor="text1"/>
          <w:kern w:val="24"/>
        </w:rPr>
      </w:pPr>
    </w:p>
    <w:sectPr w:rsidR="00877B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67DE"/>
    <w:multiLevelType w:val="hybridMultilevel"/>
    <w:tmpl w:val="2B5023E6"/>
    <w:lvl w:ilvl="0" w:tplc="8142259A">
      <w:start w:val="1"/>
      <w:numFmt w:val="decimal"/>
      <w:lvlText w:val="%1."/>
      <w:lvlJc w:val="left"/>
      <w:pPr>
        <w:ind w:left="360" w:hanging="360"/>
      </w:pPr>
      <w:rPr>
        <w:rFonts w:hint="default"/>
        <w:b/>
        <w:bCs/>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44457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AB"/>
    <w:rsid w:val="00000574"/>
    <w:rsid w:val="0000215E"/>
    <w:rsid w:val="00020F5C"/>
    <w:rsid w:val="00053292"/>
    <w:rsid w:val="000D465E"/>
    <w:rsid w:val="000F5FDD"/>
    <w:rsid w:val="001A4DA4"/>
    <w:rsid w:val="001D20B9"/>
    <w:rsid w:val="002071DB"/>
    <w:rsid w:val="00215F42"/>
    <w:rsid w:val="0024129D"/>
    <w:rsid w:val="002574D6"/>
    <w:rsid w:val="00260BAA"/>
    <w:rsid w:val="002D4A27"/>
    <w:rsid w:val="00305EBB"/>
    <w:rsid w:val="00312E1E"/>
    <w:rsid w:val="00315EBA"/>
    <w:rsid w:val="004060E7"/>
    <w:rsid w:val="00406EEE"/>
    <w:rsid w:val="00436309"/>
    <w:rsid w:val="00510EFE"/>
    <w:rsid w:val="005152ED"/>
    <w:rsid w:val="005170DB"/>
    <w:rsid w:val="0051771D"/>
    <w:rsid w:val="00544C3C"/>
    <w:rsid w:val="00555AAB"/>
    <w:rsid w:val="00611A16"/>
    <w:rsid w:val="00622E52"/>
    <w:rsid w:val="00696DA0"/>
    <w:rsid w:val="00701DEB"/>
    <w:rsid w:val="007677FC"/>
    <w:rsid w:val="00791166"/>
    <w:rsid w:val="007C69AA"/>
    <w:rsid w:val="007F5323"/>
    <w:rsid w:val="008661AD"/>
    <w:rsid w:val="00871A55"/>
    <w:rsid w:val="00877BB6"/>
    <w:rsid w:val="008E0900"/>
    <w:rsid w:val="00937014"/>
    <w:rsid w:val="00953D61"/>
    <w:rsid w:val="00A0484A"/>
    <w:rsid w:val="00A07750"/>
    <w:rsid w:val="00AD1AC0"/>
    <w:rsid w:val="00AD516B"/>
    <w:rsid w:val="00BC0C76"/>
    <w:rsid w:val="00D10822"/>
    <w:rsid w:val="00D31587"/>
    <w:rsid w:val="00D31EA8"/>
    <w:rsid w:val="00D3539B"/>
    <w:rsid w:val="00D6484A"/>
    <w:rsid w:val="00D83671"/>
    <w:rsid w:val="00E13AA8"/>
    <w:rsid w:val="00E96667"/>
    <w:rsid w:val="00F16065"/>
    <w:rsid w:val="00F53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9063"/>
  <w15:chartTrackingRefBased/>
  <w15:docId w15:val="{B9015EA9-5245-4779-A999-0130D45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767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2574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363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36309"/>
    <w:rPr>
      <w:color w:val="0000FF"/>
      <w:u w:val="single"/>
    </w:rPr>
  </w:style>
  <w:style w:type="character" w:customStyle="1" w:styleId="berschrift3Zchn">
    <w:name w:val="Überschrift 3 Zchn"/>
    <w:basedOn w:val="Absatz-Standardschriftart"/>
    <w:link w:val="berschrift3"/>
    <w:uiPriority w:val="9"/>
    <w:rsid w:val="002574D6"/>
    <w:rPr>
      <w:rFonts w:asciiTheme="majorHAnsi" w:eastAsiaTheme="majorEastAsia" w:hAnsiTheme="majorHAnsi" w:cstheme="majorBidi"/>
      <w:color w:val="243F60" w:themeColor="accent1" w:themeShade="7F"/>
      <w:sz w:val="24"/>
      <w:szCs w:val="24"/>
    </w:rPr>
  </w:style>
  <w:style w:type="character" w:customStyle="1" w:styleId="berschrift2Zchn">
    <w:name w:val="Überschrift 2 Zchn"/>
    <w:basedOn w:val="Absatz-Standardschriftart"/>
    <w:link w:val="berschrift2"/>
    <w:uiPriority w:val="9"/>
    <w:semiHidden/>
    <w:rsid w:val="007677FC"/>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877BB6"/>
    <w:pPr>
      <w:ind w:left="720"/>
      <w:contextualSpacing/>
    </w:pPr>
  </w:style>
  <w:style w:type="character" w:customStyle="1" w:styleId="hgkelc">
    <w:name w:val="hgkelc"/>
    <w:basedOn w:val="Absatz-Standardschriftart"/>
    <w:rsid w:val="0087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5526">
      <w:bodyDiv w:val="1"/>
      <w:marLeft w:val="0"/>
      <w:marRight w:val="0"/>
      <w:marTop w:val="0"/>
      <w:marBottom w:val="0"/>
      <w:divBdr>
        <w:top w:val="none" w:sz="0" w:space="0" w:color="auto"/>
        <w:left w:val="none" w:sz="0" w:space="0" w:color="auto"/>
        <w:bottom w:val="none" w:sz="0" w:space="0" w:color="auto"/>
        <w:right w:val="none" w:sz="0" w:space="0" w:color="auto"/>
      </w:divBdr>
    </w:div>
    <w:div w:id="225605260">
      <w:bodyDiv w:val="1"/>
      <w:marLeft w:val="0"/>
      <w:marRight w:val="0"/>
      <w:marTop w:val="0"/>
      <w:marBottom w:val="0"/>
      <w:divBdr>
        <w:top w:val="none" w:sz="0" w:space="0" w:color="auto"/>
        <w:left w:val="none" w:sz="0" w:space="0" w:color="auto"/>
        <w:bottom w:val="none" w:sz="0" w:space="0" w:color="auto"/>
        <w:right w:val="none" w:sz="0" w:space="0" w:color="auto"/>
      </w:divBdr>
    </w:div>
    <w:div w:id="356079708">
      <w:bodyDiv w:val="1"/>
      <w:marLeft w:val="0"/>
      <w:marRight w:val="0"/>
      <w:marTop w:val="0"/>
      <w:marBottom w:val="0"/>
      <w:divBdr>
        <w:top w:val="none" w:sz="0" w:space="0" w:color="auto"/>
        <w:left w:val="none" w:sz="0" w:space="0" w:color="auto"/>
        <w:bottom w:val="none" w:sz="0" w:space="0" w:color="auto"/>
        <w:right w:val="none" w:sz="0" w:space="0" w:color="auto"/>
      </w:divBdr>
    </w:div>
    <w:div w:id="685861794">
      <w:bodyDiv w:val="1"/>
      <w:marLeft w:val="0"/>
      <w:marRight w:val="0"/>
      <w:marTop w:val="0"/>
      <w:marBottom w:val="0"/>
      <w:divBdr>
        <w:top w:val="none" w:sz="0" w:space="0" w:color="auto"/>
        <w:left w:val="none" w:sz="0" w:space="0" w:color="auto"/>
        <w:bottom w:val="none" w:sz="0" w:space="0" w:color="auto"/>
        <w:right w:val="none" w:sz="0" w:space="0" w:color="auto"/>
      </w:divBdr>
    </w:div>
    <w:div w:id="697897656">
      <w:bodyDiv w:val="1"/>
      <w:marLeft w:val="0"/>
      <w:marRight w:val="0"/>
      <w:marTop w:val="0"/>
      <w:marBottom w:val="0"/>
      <w:divBdr>
        <w:top w:val="none" w:sz="0" w:space="0" w:color="auto"/>
        <w:left w:val="none" w:sz="0" w:space="0" w:color="auto"/>
        <w:bottom w:val="none" w:sz="0" w:space="0" w:color="auto"/>
        <w:right w:val="none" w:sz="0" w:space="0" w:color="auto"/>
      </w:divBdr>
    </w:div>
    <w:div w:id="777289484">
      <w:bodyDiv w:val="1"/>
      <w:marLeft w:val="0"/>
      <w:marRight w:val="0"/>
      <w:marTop w:val="0"/>
      <w:marBottom w:val="0"/>
      <w:divBdr>
        <w:top w:val="none" w:sz="0" w:space="0" w:color="auto"/>
        <w:left w:val="none" w:sz="0" w:space="0" w:color="auto"/>
        <w:bottom w:val="none" w:sz="0" w:space="0" w:color="auto"/>
        <w:right w:val="none" w:sz="0" w:space="0" w:color="auto"/>
      </w:divBdr>
    </w:div>
    <w:div w:id="1124495731">
      <w:bodyDiv w:val="1"/>
      <w:marLeft w:val="0"/>
      <w:marRight w:val="0"/>
      <w:marTop w:val="0"/>
      <w:marBottom w:val="0"/>
      <w:divBdr>
        <w:top w:val="none" w:sz="0" w:space="0" w:color="auto"/>
        <w:left w:val="none" w:sz="0" w:space="0" w:color="auto"/>
        <w:bottom w:val="none" w:sz="0" w:space="0" w:color="auto"/>
        <w:right w:val="none" w:sz="0" w:space="0" w:color="auto"/>
      </w:divBdr>
    </w:div>
    <w:div w:id="1499423257">
      <w:bodyDiv w:val="1"/>
      <w:marLeft w:val="0"/>
      <w:marRight w:val="0"/>
      <w:marTop w:val="0"/>
      <w:marBottom w:val="0"/>
      <w:divBdr>
        <w:top w:val="none" w:sz="0" w:space="0" w:color="auto"/>
        <w:left w:val="none" w:sz="0" w:space="0" w:color="auto"/>
        <w:bottom w:val="none" w:sz="0" w:space="0" w:color="auto"/>
        <w:right w:val="none" w:sz="0" w:space="0" w:color="auto"/>
      </w:divBdr>
    </w:div>
    <w:div w:id="1745373651">
      <w:bodyDiv w:val="1"/>
      <w:marLeft w:val="0"/>
      <w:marRight w:val="0"/>
      <w:marTop w:val="0"/>
      <w:marBottom w:val="0"/>
      <w:divBdr>
        <w:top w:val="none" w:sz="0" w:space="0" w:color="auto"/>
        <w:left w:val="none" w:sz="0" w:space="0" w:color="auto"/>
        <w:bottom w:val="none" w:sz="0" w:space="0" w:color="auto"/>
        <w:right w:val="none" w:sz="0" w:space="0" w:color="auto"/>
      </w:divBdr>
    </w:div>
    <w:div w:id="1867672265">
      <w:bodyDiv w:val="1"/>
      <w:marLeft w:val="0"/>
      <w:marRight w:val="0"/>
      <w:marTop w:val="0"/>
      <w:marBottom w:val="0"/>
      <w:divBdr>
        <w:top w:val="none" w:sz="0" w:space="0" w:color="auto"/>
        <w:left w:val="none" w:sz="0" w:space="0" w:color="auto"/>
        <w:bottom w:val="none" w:sz="0" w:space="0" w:color="auto"/>
        <w:right w:val="none" w:sz="0" w:space="0" w:color="auto"/>
      </w:divBdr>
    </w:div>
    <w:div w:id="19131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romvergleic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Bezahlbare Energie</dc:creator>
  <cp:keywords/>
  <dc:description/>
  <cp:lastModifiedBy>Günter Hinrichs</cp:lastModifiedBy>
  <cp:revision>3</cp:revision>
  <dcterms:created xsi:type="dcterms:W3CDTF">2021-03-08T09:56:00Z</dcterms:created>
  <dcterms:modified xsi:type="dcterms:W3CDTF">2022-11-03T21:25:00Z</dcterms:modified>
</cp:coreProperties>
</file>