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2C0D" w14:textId="77777777" w:rsidR="00757E28" w:rsidRPr="00757E28" w:rsidRDefault="00757E28" w:rsidP="00757E28">
      <w:pPr>
        <w:spacing w:before="100" w:beforeAutospacing="1" w:after="100" w:afterAutospacing="1" w:line="240" w:lineRule="auto"/>
        <w:outlineLvl w:val="0"/>
        <w:rPr>
          <w:rFonts w:ascii="Times New Roman" w:eastAsia="Times New Roman" w:hAnsi="Times New Roman" w:cs="Times New Roman"/>
          <w:b/>
          <w:bCs/>
          <w:color w:val="C00000"/>
          <w:kern w:val="36"/>
          <w:sz w:val="36"/>
          <w:szCs w:val="36"/>
          <w:lang w:eastAsia="de-DE"/>
          <w14:ligatures w14:val="none"/>
        </w:rPr>
      </w:pPr>
      <w:r w:rsidRPr="00757E28">
        <w:rPr>
          <w:rFonts w:ascii="Times New Roman" w:eastAsia="Times New Roman" w:hAnsi="Times New Roman" w:cs="Times New Roman"/>
          <w:b/>
          <w:bCs/>
          <w:color w:val="C00000"/>
          <w:kern w:val="36"/>
          <w:sz w:val="36"/>
          <w:szCs w:val="36"/>
          <w:lang w:eastAsia="de-DE"/>
          <w14:ligatures w14:val="none"/>
        </w:rPr>
        <w:t>Was ist ein Bilanzkreis?</w:t>
      </w:r>
    </w:p>
    <w:p w14:paraId="09FCA580" w14:textId="77777777" w:rsidR="00757E28" w:rsidRPr="00757E28" w:rsidRDefault="00757E28" w:rsidP="00757E28">
      <w:pPr>
        <w:spacing w:before="100" w:beforeAutospacing="1" w:after="100" w:afterAutospacing="1" w:line="240" w:lineRule="auto"/>
        <w:outlineLvl w:val="1"/>
        <w:rPr>
          <w:rFonts w:ascii="Times New Roman" w:eastAsia="Times New Roman" w:hAnsi="Times New Roman" w:cs="Times New Roman"/>
          <w:b/>
          <w:bCs/>
          <w:kern w:val="0"/>
          <w:sz w:val="28"/>
          <w:szCs w:val="28"/>
          <w:u w:val="single"/>
          <w:lang w:eastAsia="de-DE"/>
          <w14:ligatures w14:val="none"/>
        </w:rPr>
      </w:pPr>
      <w:r w:rsidRPr="00757E28">
        <w:rPr>
          <w:rFonts w:ascii="Times New Roman" w:eastAsia="Times New Roman" w:hAnsi="Times New Roman" w:cs="Times New Roman"/>
          <w:b/>
          <w:bCs/>
          <w:kern w:val="0"/>
          <w:sz w:val="28"/>
          <w:szCs w:val="28"/>
          <w:u w:val="single"/>
          <w:lang w:eastAsia="de-DE"/>
          <w14:ligatures w14:val="none"/>
        </w:rPr>
        <w:t>Definition</w:t>
      </w:r>
    </w:p>
    <w:p w14:paraId="59F041E7" w14:textId="77777777" w:rsidR="00721691" w:rsidRDefault="00757E28" w:rsidP="00757E2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57E28">
        <w:rPr>
          <w:rFonts w:ascii="Times New Roman" w:eastAsia="Times New Roman" w:hAnsi="Times New Roman" w:cs="Times New Roman"/>
          <w:kern w:val="0"/>
          <w:sz w:val="24"/>
          <w:szCs w:val="24"/>
          <w:lang w:eastAsia="de-DE"/>
          <w14:ligatures w14:val="none"/>
        </w:rPr>
        <w:t xml:space="preserve">Der Bilanzkreis ist die kleinste Einheit des Energiemarktmodells und bezeichnet in der Energiewirtschaft ein </w:t>
      </w:r>
      <w:r w:rsidRPr="00757E28">
        <w:rPr>
          <w:rFonts w:ascii="Times New Roman" w:eastAsia="Times New Roman" w:hAnsi="Times New Roman" w:cs="Times New Roman"/>
          <w:b/>
          <w:bCs/>
          <w:kern w:val="0"/>
          <w:sz w:val="24"/>
          <w:szCs w:val="24"/>
          <w:lang w:eastAsia="de-DE"/>
          <w14:ligatures w14:val="none"/>
        </w:rPr>
        <w:t>virtuelles Energiemengenkonto</w:t>
      </w:r>
      <w:r w:rsidRPr="00757E28">
        <w:rPr>
          <w:rFonts w:ascii="Times New Roman" w:eastAsia="Times New Roman" w:hAnsi="Times New Roman" w:cs="Times New Roman"/>
          <w:kern w:val="0"/>
          <w:sz w:val="24"/>
          <w:szCs w:val="24"/>
          <w:lang w:eastAsia="de-DE"/>
          <w14:ligatures w14:val="none"/>
        </w:rPr>
        <w:t xml:space="preserve">. Dieses Konto dient als </w:t>
      </w:r>
      <w:r w:rsidRPr="00757E28">
        <w:rPr>
          <w:rFonts w:ascii="Times New Roman" w:eastAsia="Times New Roman" w:hAnsi="Times New Roman" w:cs="Times New Roman"/>
          <w:b/>
          <w:bCs/>
          <w:kern w:val="0"/>
          <w:sz w:val="24"/>
          <w:szCs w:val="24"/>
          <w:lang w:eastAsia="de-DE"/>
          <w14:ligatures w14:val="none"/>
        </w:rPr>
        <w:t>Instrument zum Ordnen des Strom- und Gasmarktes</w:t>
      </w:r>
      <w:r w:rsidRPr="00757E28">
        <w:rPr>
          <w:rFonts w:ascii="Times New Roman" w:eastAsia="Times New Roman" w:hAnsi="Times New Roman" w:cs="Times New Roman"/>
          <w:kern w:val="0"/>
          <w:sz w:val="24"/>
          <w:szCs w:val="24"/>
          <w:lang w:eastAsia="de-DE"/>
          <w14:ligatures w14:val="none"/>
        </w:rPr>
        <w:t xml:space="preserve">. </w:t>
      </w:r>
    </w:p>
    <w:p w14:paraId="62DE5D5A" w14:textId="317E71EF" w:rsidR="00974EE0" w:rsidRPr="00974EE0" w:rsidRDefault="00EA556A" w:rsidP="00757E28">
      <w:pPr>
        <w:spacing w:before="100" w:beforeAutospacing="1" w:after="100" w:afterAutospacing="1" w:line="240" w:lineRule="auto"/>
        <w:rPr>
          <w:rFonts w:ascii="Times New Roman" w:eastAsia="Times New Roman" w:hAnsi="Times New Roman" w:cs="Times New Roman"/>
          <w:b/>
          <w:bCs/>
          <w:kern w:val="0"/>
          <w:sz w:val="28"/>
          <w:szCs w:val="28"/>
          <w:lang w:eastAsia="de-DE"/>
          <w14:ligatures w14:val="none"/>
        </w:rPr>
      </w:pPr>
      <w:r>
        <w:rPr>
          <w:noProof/>
        </w:rPr>
        <mc:AlternateContent>
          <mc:Choice Requires="wps">
            <w:drawing>
              <wp:anchor distT="0" distB="0" distL="114300" distR="114300" simplePos="0" relativeHeight="251659264" behindDoc="0" locked="0" layoutInCell="1" allowOverlap="1" wp14:anchorId="487E6E70" wp14:editId="327AA29F">
                <wp:simplePos x="0" y="0"/>
                <wp:positionH relativeFrom="margin">
                  <wp:posOffset>3798570</wp:posOffset>
                </wp:positionH>
                <wp:positionV relativeFrom="paragraph">
                  <wp:posOffset>290195</wp:posOffset>
                </wp:positionV>
                <wp:extent cx="1935480" cy="1828800"/>
                <wp:effectExtent l="0" t="0" r="26670" b="19050"/>
                <wp:wrapNone/>
                <wp:docPr id="1240439987" name="Textfeld 1"/>
                <wp:cNvGraphicFramePr/>
                <a:graphic xmlns:a="http://schemas.openxmlformats.org/drawingml/2006/main">
                  <a:graphicData uri="http://schemas.microsoft.com/office/word/2010/wordprocessingShape">
                    <wps:wsp>
                      <wps:cNvSpPr txBox="1"/>
                      <wps:spPr>
                        <a:xfrm>
                          <a:off x="0" y="0"/>
                          <a:ext cx="1935480" cy="1828800"/>
                        </a:xfrm>
                        <a:prstGeom prst="rect">
                          <a:avLst/>
                        </a:prstGeom>
                        <a:solidFill>
                          <a:schemeClr val="lt1"/>
                        </a:solidFill>
                        <a:ln w="6350">
                          <a:solidFill>
                            <a:prstClr val="black"/>
                          </a:solidFill>
                        </a:ln>
                      </wps:spPr>
                      <wps:txbx>
                        <w:txbxContent>
                          <w:p w14:paraId="7C8A6C98" w14:textId="5EA1C6FB" w:rsidR="00721691" w:rsidRDefault="00721691">
                            <w:r>
                              <w:rPr>
                                <w:noProof/>
                              </w:rPr>
                              <w:drawing>
                                <wp:inline distT="0" distB="0" distL="0" distR="0" wp14:anchorId="7F5B822B" wp14:editId="7E73BFC4">
                                  <wp:extent cx="1746250" cy="1629410"/>
                                  <wp:effectExtent l="0" t="0" r="6350" b="8890"/>
                                  <wp:docPr id="547623703" name="Grafik 1" descr="Ein Bild, das Text, Diagramm, Reihe,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23703" name="Grafik 1" descr="Ein Bild, das Text, Diagramm, Reihe, Kreis enthält.&#10;&#10;Automatisch generierte Beschreibung"/>
                                          <pic:cNvPicPr/>
                                        </pic:nvPicPr>
                                        <pic:blipFill>
                                          <a:blip r:embed="rId5"/>
                                          <a:stretch>
                                            <a:fillRect/>
                                          </a:stretch>
                                        </pic:blipFill>
                                        <pic:spPr>
                                          <a:xfrm>
                                            <a:off x="0" y="0"/>
                                            <a:ext cx="1746250" cy="1629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E6E70" id="_x0000_t202" coordsize="21600,21600" o:spt="202" path="m,l,21600r21600,l21600,xe">
                <v:stroke joinstyle="miter"/>
                <v:path gradientshapeok="t" o:connecttype="rect"/>
              </v:shapetype>
              <v:shape id="Textfeld 1" o:spid="_x0000_s1026" type="#_x0000_t202" style="position:absolute;margin-left:299.1pt;margin-top:22.85pt;width:152.4pt;height:2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" fillcolor="white [3201]" strokeweight=".5pt">
                <v:textbox>
                  <w:txbxContent>
                    <w:p w14:paraId="7C8A6C98" w14:textId="5EA1C6FB" w:rsidR="00721691" w:rsidRDefault="00721691">
                      <w:r>
                        <w:rPr>
                          <w:noProof/>
                        </w:rPr>
                        <w:drawing>
                          <wp:inline distT="0" distB="0" distL="0" distR="0" wp14:anchorId="7F5B822B" wp14:editId="7E73BFC4">
                            <wp:extent cx="1746250" cy="1629410"/>
                            <wp:effectExtent l="0" t="0" r="6350" b="8890"/>
                            <wp:docPr id="547623703" name="Grafik 1" descr="Ein Bild, das Text, Diagramm, Reihe,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23703" name="Grafik 1" descr="Ein Bild, das Text, Diagramm, Reihe, Kreis enthält.&#10;&#10;Automatisch generierte Beschreibung"/>
                                    <pic:cNvPicPr/>
                                  </pic:nvPicPr>
                                  <pic:blipFill>
                                    <a:blip r:embed="rId5"/>
                                    <a:stretch>
                                      <a:fillRect/>
                                    </a:stretch>
                                  </pic:blipFill>
                                  <pic:spPr>
                                    <a:xfrm>
                                      <a:off x="0" y="0"/>
                                      <a:ext cx="1746250" cy="1629410"/>
                                    </a:xfrm>
                                    <a:prstGeom prst="rect">
                                      <a:avLst/>
                                    </a:prstGeom>
                                  </pic:spPr>
                                </pic:pic>
                              </a:graphicData>
                            </a:graphic>
                          </wp:inline>
                        </w:drawing>
                      </w:r>
                    </w:p>
                  </w:txbxContent>
                </v:textbox>
                <w10:wrap anchorx="margin"/>
              </v:shape>
            </w:pict>
          </mc:Fallback>
        </mc:AlternateContent>
      </w:r>
      <w:r w:rsidR="00721691" w:rsidRPr="00974EE0">
        <w:rPr>
          <w:rFonts w:ascii="Times New Roman" w:eastAsia="Times New Roman" w:hAnsi="Times New Roman" w:cs="Times New Roman"/>
          <w:b/>
          <w:bCs/>
          <w:kern w:val="0"/>
          <w:sz w:val="28"/>
          <w:szCs w:val="28"/>
          <w:lang w:eastAsia="de-DE"/>
          <w14:ligatures w14:val="none"/>
        </w:rPr>
        <w:t>Gleichmäßige Bilanzkreise</w:t>
      </w:r>
      <w:r w:rsidR="00974EE0">
        <w:rPr>
          <w:rFonts w:ascii="Times New Roman" w:eastAsia="Times New Roman" w:hAnsi="Times New Roman" w:cs="Times New Roman"/>
          <w:b/>
          <w:bCs/>
          <w:kern w:val="0"/>
          <w:sz w:val="28"/>
          <w:szCs w:val="28"/>
          <w:lang w:eastAsia="de-DE"/>
          <w14:ligatures w14:val="none"/>
        </w:rPr>
        <w:t>,</w:t>
      </w:r>
      <w:r w:rsidR="00721691" w:rsidRPr="00974EE0">
        <w:rPr>
          <w:rFonts w:ascii="Times New Roman" w:eastAsia="Times New Roman" w:hAnsi="Times New Roman" w:cs="Times New Roman"/>
          <w:b/>
          <w:bCs/>
          <w:kern w:val="0"/>
          <w:sz w:val="28"/>
          <w:szCs w:val="28"/>
          <w:lang w:eastAsia="de-DE"/>
          <w14:ligatures w14:val="none"/>
        </w:rPr>
        <w:t xml:space="preserve"> das Fundament für ein stabiles Netz</w:t>
      </w:r>
    </w:p>
    <w:p w14:paraId="3C65CA82" w14:textId="1C66DECF" w:rsidR="00757E28" w:rsidRPr="00757E28" w:rsidRDefault="00757E28" w:rsidP="00757E2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57E28">
        <w:rPr>
          <w:rFonts w:ascii="Times New Roman" w:eastAsia="Times New Roman" w:hAnsi="Times New Roman" w:cs="Times New Roman"/>
          <w:kern w:val="0"/>
          <w:sz w:val="24"/>
          <w:szCs w:val="24"/>
          <w:lang w:eastAsia="de-DE"/>
          <w14:ligatures w14:val="none"/>
        </w:rPr>
        <w:t>Prinzipiell geht es um die Ausgeglichenheit einer beliebigen</w:t>
      </w:r>
      <w:r w:rsidR="00974EE0">
        <w:rPr>
          <w:rFonts w:ascii="Times New Roman" w:eastAsia="Times New Roman" w:hAnsi="Times New Roman" w:cs="Times New Roman"/>
          <w:kern w:val="0"/>
          <w:sz w:val="24"/>
          <w:szCs w:val="24"/>
          <w:lang w:eastAsia="de-DE"/>
          <w14:ligatures w14:val="none"/>
        </w:rPr>
        <w:br/>
      </w:r>
      <w:r w:rsidRPr="00757E28">
        <w:rPr>
          <w:rFonts w:ascii="Times New Roman" w:eastAsia="Times New Roman" w:hAnsi="Times New Roman" w:cs="Times New Roman"/>
          <w:kern w:val="0"/>
          <w:sz w:val="24"/>
          <w:szCs w:val="24"/>
          <w:lang w:eastAsia="de-DE"/>
          <w14:ligatures w14:val="none"/>
        </w:rPr>
        <w:t>Anzahl von Energie</w:t>
      </w:r>
      <w:r w:rsidR="00721691">
        <w:rPr>
          <w:rFonts w:ascii="Times New Roman" w:eastAsia="Times New Roman" w:hAnsi="Times New Roman" w:cs="Times New Roman"/>
          <w:kern w:val="0"/>
          <w:sz w:val="24"/>
          <w:szCs w:val="24"/>
          <w:lang w:eastAsia="de-DE"/>
          <w14:ligatures w14:val="none"/>
        </w:rPr>
        <w:t xml:space="preserve"> Ein- </w:t>
      </w:r>
      <w:r w:rsidRPr="00757E28">
        <w:rPr>
          <w:rFonts w:ascii="Times New Roman" w:eastAsia="Times New Roman" w:hAnsi="Times New Roman" w:cs="Times New Roman"/>
          <w:kern w:val="0"/>
          <w:sz w:val="24"/>
          <w:szCs w:val="24"/>
          <w:lang w:eastAsia="de-DE"/>
          <w14:ligatures w14:val="none"/>
        </w:rPr>
        <w:t>und</w:t>
      </w:r>
      <w:r w:rsidR="00721691">
        <w:rPr>
          <w:rFonts w:ascii="Times New Roman" w:eastAsia="Times New Roman" w:hAnsi="Times New Roman" w:cs="Times New Roman"/>
          <w:kern w:val="0"/>
          <w:sz w:val="24"/>
          <w:szCs w:val="24"/>
          <w:lang w:eastAsia="de-DE"/>
          <w14:ligatures w14:val="none"/>
        </w:rPr>
        <w:t xml:space="preserve"> A</w:t>
      </w:r>
      <w:r w:rsidRPr="00757E28">
        <w:rPr>
          <w:rFonts w:ascii="Times New Roman" w:eastAsia="Times New Roman" w:hAnsi="Times New Roman" w:cs="Times New Roman"/>
          <w:kern w:val="0"/>
          <w:sz w:val="24"/>
          <w:szCs w:val="24"/>
          <w:lang w:eastAsia="de-DE"/>
          <w14:ligatures w14:val="none"/>
        </w:rPr>
        <w:t xml:space="preserve">usspeisungen. </w:t>
      </w:r>
      <w:r w:rsidR="00974EE0">
        <w:rPr>
          <w:rFonts w:ascii="Times New Roman" w:eastAsia="Times New Roman" w:hAnsi="Times New Roman" w:cs="Times New Roman"/>
          <w:kern w:val="0"/>
          <w:sz w:val="24"/>
          <w:szCs w:val="24"/>
          <w:lang w:eastAsia="de-DE"/>
          <w14:ligatures w14:val="none"/>
        </w:rPr>
        <w:br/>
      </w:r>
      <w:r w:rsidRPr="00757E28">
        <w:rPr>
          <w:rFonts w:ascii="Times New Roman" w:eastAsia="Times New Roman" w:hAnsi="Times New Roman" w:cs="Times New Roman"/>
          <w:kern w:val="0"/>
          <w:sz w:val="24"/>
          <w:szCs w:val="24"/>
          <w:lang w:eastAsia="de-DE"/>
          <w14:ligatures w14:val="none"/>
        </w:rPr>
        <w:t>Dies verhindert Über- sowie Unterproduktion weitestgehend</w:t>
      </w:r>
      <w:r w:rsidR="00974EE0">
        <w:rPr>
          <w:rFonts w:ascii="Times New Roman" w:eastAsia="Times New Roman" w:hAnsi="Times New Roman" w:cs="Times New Roman"/>
          <w:kern w:val="0"/>
          <w:sz w:val="24"/>
          <w:szCs w:val="24"/>
          <w:lang w:eastAsia="de-DE"/>
          <w14:ligatures w14:val="none"/>
        </w:rPr>
        <w:br/>
      </w:r>
      <w:r w:rsidRPr="00757E28">
        <w:rPr>
          <w:rFonts w:ascii="Times New Roman" w:eastAsia="Times New Roman" w:hAnsi="Times New Roman" w:cs="Times New Roman"/>
          <w:kern w:val="0"/>
          <w:sz w:val="24"/>
          <w:szCs w:val="24"/>
          <w:lang w:eastAsia="de-DE"/>
          <w14:ligatures w14:val="none"/>
        </w:rPr>
        <w:t xml:space="preserve">und macht Energie effizient nutzbar. </w:t>
      </w:r>
      <w:r w:rsidR="00721691">
        <w:rPr>
          <w:rFonts w:ascii="Times New Roman" w:eastAsia="Times New Roman" w:hAnsi="Times New Roman" w:cs="Times New Roman"/>
          <w:kern w:val="0"/>
          <w:sz w:val="24"/>
          <w:szCs w:val="24"/>
          <w:lang w:eastAsia="de-DE"/>
          <w14:ligatures w14:val="none"/>
        </w:rPr>
        <w:br/>
      </w:r>
      <w:r w:rsidR="00721691">
        <w:rPr>
          <w:rFonts w:ascii="Times New Roman" w:eastAsia="Times New Roman" w:hAnsi="Times New Roman" w:cs="Times New Roman"/>
          <w:kern w:val="0"/>
          <w:sz w:val="24"/>
          <w:szCs w:val="24"/>
          <w:lang w:eastAsia="de-DE"/>
          <w14:ligatures w14:val="none"/>
        </w:rPr>
        <w:br/>
      </w:r>
      <w:r w:rsidRPr="00757E28">
        <w:rPr>
          <w:rFonts w:ascii="Times New Roman" w:eastAsia="Times New Roman" w:hAnsi="Times New Roman" w:cs="Times New Roman"/>
          <w:kern w:val="0"/>
          <w:sz w:val="24"/>
          <w:szCs w:val="24"/>
          <w:lang w:eastAsia="de-DE"/>
          <w14:ligatures w14:val="none"/>
        </w:rPr>
        <w:t xml:space="preserve">Das Ziel </w:t>
      </w:r>
      <w:r w:rsidR="00EA556A">
        <w:rPr>
          <w:rFonts w:ascii="Times New Roman" w:eastAsia="Times New Roman" w:hAnsi="Times New Roman" w:cs="Times New Roman"/>
          <w:kern w:val="0"/>
          <w:sz w:val="24"/>
          <w:szCs w:val="24"/>
          <w:lang w:eastAsia="de-DE"/>
          <w14:ligatures w14:val="none"/>
        </w:rPr>
        <w:t>ist</w:t>
      </w:r>
      <w:r w:rsidRPr="00757E28">
        <w:rPr>
          <w:rFonts w:ascii="Times New Roman" w:eastAsia="Times New Roman" w:hAnsi="Times New Roman" w:cs="Times New Roman"/>
          <w:kern w:val="0"/>
          <w:sz w:val="24"/>
          <w:szCs w:val="24"/>
          <w:lang w:eastAsia="de-DE"/>
          <w14:ligatures w14:val="none"/>
        </w:rPr>
        <w:t xml:space="preserve">, den Bilanzkreis durch Fahrplanmanagement </w:t>
      </w:r>
      <w:r w:rsidR="00EA556A">
        <w:rPr>
          <w:rFonts w:ascii="Times New Roman" w:eastAsia="Times New Roman" w:hAnsi="Times New Roman" w:cs="Times New Roman"/>
          <w:kern w:val="0"/>
          <w:sz w:val="24"/>
          <w:szCs w:val="24"/>
          <w:lang w:eastAsia="de-DE"/>
          <w14:ligatures w14:val="none"/>
        </w:rPr>
        <w:br/>
      </w:r>
      <w:r w:rsidRPr="00757E28">
        <w:rPr>
          <w:rFonts w:ascii="Times New Roman" w:eastAsia="Times New Roman" w:hAnsi="Times New Roman" w:cs="Times New Roman"/>
          <w:b/>
          <w:bCs/>
          <w:kern w:val="0"/>
          <w:sz w:val="24"/>
          <w:szCs w:val="24"/>
          <w:lang w:eastAsia="de-DE"/>
          <w14:ligatures w14:val="none"/>
        </w:rPr>
        <w:t>übereinstimmend zu saldieren</w:t>
      </w:r>
      <w:r w:rsidRPr="00757E28">
        <w:rPr>
          <w:rFonts w:ascii="Times New Roman" w:eastAsia="Times New Roman" w:hAnsi="Times New Roman" w:cs="Times New Roman"/>
          <w:kern w:val="0"/>
          <w:sz w:val="24"/>
          <w:szCs w:val="24"/>
          <w:lang w:eastAsia="de-DE"/>
          <w14:ligatures w14:val="none"/>
        </w:rPr>
        <w:t xml:space="preserve">, so dass die in das Netz </w:t>
      </w:r>
      <w:r w:rsidR="00EA556A">
        <w:rPr>
          <w:rFonts w:ascii="Times New Roman" w:eastAsia="Times New Roman" w:hAnsi="Times New Roman" w:cs="Times New Roman"/>
          <w:kern w:val="0"/>
          <w:sz w:val="24"/>
          <w:szCs w:val="24"/>
          <w:lang w:eastAsia="de-DE"/>
          <w14:ligatures w14:val="none"/>
        </w:rPr>
        <w:br/>
      </w:r>
      <w:r w:rsidRPr="00757E28">
        <w:rPr>
          <w:rFonts w:ascii="Times New Roman" w:eastAsia="Times New Roman" w:hAnsi="Times New Roman" w:cs="Times New Roman"/>
          <w:kern w:val="0"/>
          <w:sz w:val="24"/>
          <w:szCs w:val="24"/>
          <w:lang w:eastAsia="de-DE"/>
          <w14:ligatures w14:val="none"/>
        </w:rPr>
        <w:t xml:space="preserve">eingespeiste Energiemenge der gleichzeitig aus dem Netz </w:t>
      </w:r>
      <w:r w:rsidR="00EA556A">
        <w:rPr>
          <w:rFonts w:ascii="Times New Roman" w:eastAsia="Times New Roman" w:hAnsi="Times New Roman" w:cs="Times New Roman"/>
          <w:kern w:val="0"/>
          <w:sz w:val="24"/>
          <w:szCs w:val="24"/>
          <w:lang w:eastAsia="de-DE"/>
          <w14:ligatures w14:val="none"/>
        </w:rPr>
        <w:br/>
      </w:r>
      <w:r w:rsidRPr="00757E28">
        <w:rPr>
          <w:rFonts w:ascii="Times New Roman" w:eastAsia="Times New Roman" w:hAnsi="Times New Roman" w:cs="Times New Roman"/>
          <w:kern w:val="0"/>
          <w:sz w:val="24"/>
          <w:szCs w:val="24"/>
          <w:lang w:eastAsia="de-DE"/>
          <w14:ligatures w14:val="none"/>
        </w:rPr>
        <w:t xml:space="preserve">verbrauchten Energiemenge entspricht. </w:t>
      </w:r>
      <w:r w:rsidR="00721691">
        <w:rPr>
          <w:rFonts w:ascii="Times New Roman" w:eastAsia="Times New Roman" w:hAnsi="Times New Roman" w:cs="Times New Roman"/>
          <w:kern w:val="0"/>
          <w:sz w:val="24"/>
          <w:szCs w:val="24"/>
          <w:lang w:eastAsia="de-DE"/>
          <w14:ligatures w14:val="none"/>
        </w:rPr>
        <w:br/>
      </w:r>
      <w:r w:rsidR="00721691">
        <w:rPr>
          <w:rFonts w:ascii="Times New Roman" w:eastAsia="Times New Roman" w:hAnsi="Times New Roman" w:cs="Times New Roman"/>
          <w:kern w:val="0"/>
          <w:sz w:val="24"/>
          <w:szCs w:val="24"/>
          <w:lang w:eastAsia="de-DE"/>
          <w14:ligatures w14:val="none"/>
        </w:rPr>
        <w:br/>
      </w:r>
      <w:r w:rsidRPr="00757E28">
        <w:rPr>
          <w:rFonts w:ascii="Times New Roman" w:eastAsia="Times New Roman" w:hAnsi="Times New Roman" w:cs="Times New Roman"/>
          <w:kern w:val="0"/>
          <w:sz w:val="24"/>
          <w:szCs w:val="24"/>
          <w:lang w:eastAsia="de-DE"/>
          <w14:ligatures w14:val="none"/>
        </w:rPr>
        <w:t>Der Bilanzkreis ermöglicht zusätzlich die Abwicklung von Handelsgeschäften.</w:t>
      </w:r>
    </w:p>
    <w:p w14:paraId="37E51678" w14:textId="035AB2B6" w:rsidR="00757E28" w:rsidRDefault="00757E28">
      <w:r>
        <w:t>Die hohe Anzahl von Bilanzkreisen ist in Deutschland regelzonen- bzw. marktgebiets</w:t>
      </w:r>
      <w:r w:rsidR="00974EE0">
        <w:t>-</w:t>
      </w:r>
      <w:r>
        <w:t xml:space="preserve">spezifisch strukturiert. </w:t>
      </w:r>
    </w:p>
    <w:p w14:paraId="7505C946" w14:textId="77777777" w:rsidR="00757E28" w:rsidRDefault="00757E28">
      <w:r>
        <w:t xml:space="preserve">Sogenannte </w:t>
      </w:r>
      <w:r>
        <w:rPr>
          <w:rStyle w:val="Fett"/>
        </w:rPr>
        <w:t>Bilanzkreisverantwortliche</w:t>
      </w:r>
      <w:r>
        <w:t xml:space="preserve"> (</w:t>
      </w:r>
      <w:r>
        <w:rPr>
          <w:rStyle w:val="Fett"/>
        </w:rPr>
        <w:t>BKV</w:t>
      </w:r>
      <w:r>
        <w:t xml:space="preserve">) sind die primär zuständigen Akteure, die den Bilanzkreis bewirtschaften. Beispielsweise können Energieversorger oder Energiehändler als BKV in Erscheinung treten. </w:t>
      </w:r>
    </w:p>
    <w:p w14:paraId="21A8E8F0" w14:textId="4F77B6E3" w:rsidR="00757E28" w:rsidRDefault="00757E28">
      <w:r>
        <w:t xml:space="preserve">Die </w:t>
      </w:r>
      <w:r>
        <w:rPr>
          <w:rStyle w:val="Fett"/>
        </w:rPr>
        <w:t>Übertragungsnetzbetreiber</w:t>
      </w:r>
      <w:r>
        <w:t xml:space="preserve"> (</w:t>
      </w:r>
      <w:r>
        <w:rPr>
          <w:rStyle w:val="Fett"/>
        </w:rPr>
        <w:t>ÜNB</w:t>
      </w:r>
      <w:r>
        <w:t xml:space="preserve">) im Falle von Strom bzw. </w:t>
      </w:r>
      <w:r>
        <w:rPr>
          <w:rStyle w:val="Fett"/>
        </w:rPr>
        <w:t>Marktgebietsverantwortlichen</w:t>
      </w:r>
      <w:r>
        <w:t xml:space="preserve"> (</w:t>
      </w:r>
      <w:r>
        <w:rPr>
          <w:rStyle w:val="Fett"/>
        </w:rPr>
        <w:t>MGV</w:t>
      </w:r>
      <w:r>
        <w:t>) im Falle von Gas kontrollieren die Tätigkeiten der BKV.</w:t>
      </w:r>
      <w:r w:rsidR="00EA556A">
        <w:t xml:space="preserve"> (</w:t>
      </w:r>
      <w:r>
        <w:t>Die Interaktionen und Zuständigkeiten zwischen Bilanzkreis-Verantwortlichem und ÜNB (</w:t>
      </w:r>
      <w:hyperlink r:id="rId6" w:tooltip="Hier gibt es Hintergrundinformationen zum Nachlesen" w:history="1">
        <w:r>
          <w:rPr>
            <w:rStyle w:val="Hyperlink"/>
          </w:rPr>
          <w:t>BK6-06-013</w:t>
        </w:r>
      </w:hyperlink>
      <w:r>
        <w:t>) bzw. MGV (</w:t>
      </w:r>
      <w:proofErr w:type="spellStart"/>
      <w:r>
        <w:fldChar w:fldCharType="begin"/>
      </w:r>
      <w:r>
        <w:instrText>HYPERLINK "https://www.bdew.de/internet.nsf/id/68C3DE72458C4E85C1257E740030B26F/$file/15-06-30_Anlage_4_KoV_VIII.docx" \o "Hier gibt es Hintergrundinformationen zum Nachlesen"</w:instrText>
      </w:r>
      <w:r>
        <w:fldChar w:fldCharType="separate"/>
      </w:r>
      <w:r>
        <w:rPr>
          <w:rStyle w:val="Hyperlink"/>
        </w:rPr>
        <w:t>KoV</w:t>
      </w:r>
      <w:proofErr w:type="spellEnd"/>
      <w:r>
        <w:rPr>
          <w:rStyle w:val="Hyperlink"/>
        </w:rPr>
        <w:t xml:space="preserve"> Gas VIII Anlage 4</w:t>
      </w:r>
      <w:r>
        <w:fldChar w:fldCharType="end"/>
      </w:r>
      <w:r>
        <w:t>) sind vertraglich standardisiert</w:t>
      </w:r>
      <w:r w:rsidR="00EA556A">
        <w:t>)</w:t>
      </w:r>
      <w:r>
        <w:t>.</w:t>
      </w:r>
    </w:p>
    <w:p w14:paraId="5ACC2357" w14:textId="703544C6" w:rsidR="00757E28" w:rsidRPr="00757E28" w:rsidRDefault="00974EE0" w:rsidP="00757E28">
      <w:pPr>
        <w:spacing w:before="100" w:beforeAutospacing="1" w:after="100" w:afterAutospacing="1" w:line="240" w:lineRule="auto"/>
        <w:outlineLvl w:val="1"/>
        <w:rPr>
          <w:rFonts w:ascii="Times New Roman" w:eastAsia="Times New Roman" w:hAnsi="Times New Roman" w:cs="Times New Roman"/>
          <w:b/>
          <w:bCs/>
          <w:kern w:val="0"/>
          <w:sz w:val="28"/>
          <w:szCs w:val="28"/>
          <w:u w:val="single"/>
          <w:lang w:eastAsia="de-DE"/>
          <w14:ligatures w14:val="none"/>
        </w:rPr>
      </w:pPr>
      <w:r>
        <w:rPr>
          <w:noProof/>
        </w:rPr>
        <mc:AlternateContent>
          <mc:Choice Requires="wps">
            <w:drawing>
              <wp:anchor distT="0" distB="0" distL="114300" distR="114300" simplePos="0" relativeHeight="251661312" behindDoc="0" locked="0" layoutInCell="1" allowOverlap="1" wp14:anchorId="02A982FD" wp14:editId="6DC08BBA">
                <wp:simplePos x="0" y="0"/>
                <wp:positionH relativeFrom="margin">
                  <wp:align>right</wp:align>
                </wp:positionH>
                <wp:positionV relativeFrom="paragraph">
                  <wp:posOffset>241935</wp:posOffset>
                </wp:positionV>
                <wp:extent cx="2141220" cy="2316480"/>
                <wp:effectExtent l="0" t="0" r="11430" b="26670"/>
                <wp:wrapNone/>
                <wp:docPr id="870401843" name="Textfeld 1"/>
                <wp:cNvGraphicFramePr/>
                <a:graphic xmlns:a="http://schemas.openxmlformats.org/drawingml/2006/main">
                  <a:graphicData uri="http://schemas.microsoft.com/office/word/2010/wordprocessingShape">
                    <wps:wsp>
                      <wps:cNvSpPr txBox="1"/>
                      <wps:spPr>
                        <a:xfrm>
                          <a:off x="0" y="0"/>
                          <a:ext cx="2141220" cy="2316480"/>
                        </a:xfrm>
                        <a:prstGeom prst="rect">
                          <a:avLst/>
                        </a:prstGeom>
                        <a:solidFill>
                          <a:sysClr val="window" lastClr="FFFFFF"/>
                        </a:solidFill>
                        <a:ln w="6350">
                          <a:solidFill>
                            <a:prstClr val="black"/>
                          </a:solidFill>
                        </a:ln>
                      </wps:spPr>
                      <wps:txbx>
                        <w:txbxContent>
                          <w:p w14:paraId="61AA87F5" w14:textId="0CB62424" w:rsidR="00974EE0" w:rsidRDefault="00EA556A" w:rsidP="00974EE0">
                            <w:r w:rsidRPr="00974EE0">
                              <w:rPr>
                                <w:rFonts w:ascii="Times New Roman" w:hAnsi="Times New Roman" w:cs="Times New Roman"/>
                                <w:sz w:val="24"/>
                                <w:szCs w:val="24"/>
                              </w:rPr>
                              <w:drawing>
                                <wp:inline distT="0" distB="0" distL="0" distR="0" wp14:anchorId="4295353F" wp14:editId="64A8720F">
                                  <wp:extent cx="1951990" cy="2066896"/>
                                  <wp:effectExtent l="0" t="0" r="0" b="0"/>
                                  <wp:docPr id="2008391308" name="Grafik 1" descr="Ein Bild, das Text, Karte, Atl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91308" name="Grafik 1" descr="Ein Bild, das Text, Karte, Atlas, Diagramm enthält.&#10;&#10;Automatisch generierte Beschreibung"/>
                                          <pic:cNvPicPr/>
                                        </pic:nvPicPr>
                                        <pic:blipFill>
                                          <a:blip r:embed="rId7"/>
                                          <a:stretch>
                                            <a:fillRect/>
                                          </a:stretch>
                                        </pic:blipFill>
                                        <pic:spPr>
                                          <a:xfrm>
                                            <a:off x="0" y="0"/>
                                            <a:ext cx="1951990" cy="20668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982FD" id="_x0000_s1027" type="#_x0000_t202" style="position:absolute;margin-left:117.4pt;margin-top:19.05pt;width:168.6pt;height:182.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" fillcolor="window" strokeweight=".5pt">
                <v:textbox>
                  <w:txbxContent>
                    <w:p w14:paraId="61AA87F5" w14:textId="0CB62424" w:rsidR="00974EE0" w:rsidRDefault="00EA556A" w:rsidP="00974EE0">
                      <w:r w:rsidRPr="00974EE0">
                        <w:rPr>
                          <w:rFonts w:ascii="Times New Roman" w:hAnsi="Times New Roman" w:cs="Times New Roman"/>
                          <w:sz w:val="24"/>
                          <w:szCs w:val="24"/>
                        </w:rPr>
                        <w:drawing>
                          <wp:inline distT="0" distB="0" distL="0" distR="0" wp14:anchorId="4295353F" wp14:editId="64A8720F">
                            <wp:extent cx="1951990" cy="2066896"/>
                            <wp:effectExtent l="0" t="0" r="0" b="0"/>
                            <wp:docPr id="2008391308" name="Grafik 1" descr="Ein Bild, das Text, Karte, Atlas,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391308" name="Grafik 1" descr="Ein Bild, das Text, Karte, Atlas, Diagramm enthält.&#10;&#10;Automatisch generierte Beschreibung"/>
                                    <pic:cNvPicPr/>
                                  </pic:nvPicPr>
                                  <pic:blipFill>
                                    <a:blip r:embed="rId7"/>
                                    <a:stretch>
                                      <a:fillRect/>
                                    </a:stretch>
                                  </pic:blipFill>
                                  <pic:spPr>
                                    <a:xfrm>
                                      <a:off x="0" y="0"/>
                                      <a:ext cx="1951990" cy="2066896"/>
                                    </a:xfrm>
                                    <a:prstGeom prst="rect">
                                      <a:avLst/>
                                    </a:prstGeom>
                                  </pic:spPr>
                                </pic:pic>
                              </a:graphicData>
                            </a:graphic>
                          </wp:inline>
                        </w:drawing>
                      </w:r>
                    </w:p>
                  </w:txbxContent>
                </v:textbox>
                <w10:wrap anchorx="margin"/>
              </v:shape>
            </w:pict>
          </mc:Fallback>
        </mc:AlternateContent>
      </w:r>
      <w:r w:rsidR="00757E28" w:rsidRPr="00757E28">
        <w:rPr>
          <w:rFonts w:ascii="Times New Roman" w:eastAsia="Times New Roman" w:hAnsi="Times New Roman" w:cs="Times New Roman"/>
          <w:b/>
          <w:bCs/>
          <w:kern w:val="0"/>
          <w:sz w:val="28"/>
          <w:szCs w:val="28"/>
          <w:u w:val="single"/>
          <w:lang w:eastAsia="de-DE"/>
          <w14:ligatures w14:val="none"/>
        </w:rPr>
        <w:t>Strom</w:t>
      </w:r>
    </w:p>
    <w:p w14:paraId="64749905" w14:textId="226BAB33" w:rsidR="00757E28" w:rsidRPr="00757E28" w:rsidRDefault="00757E28" w:rsidP="00757E2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57E28">
        <w:rPr>
          <w:rFonts w:ascii="Times New Roman" w:eastAsia="Times New Roman" w:hAnsi="Times New Roman" w:cs="Times New Roman"/>
          <w:kern w:val="0"/>
          <w:sz w:val="24"/>
          <w:szCs w:val="24"/>
          <w:lang w:eastAsia="de-DE"/>
          <w14:ligatures w14:val="none"/>
        </w:rPr>
        <w:t xml:space="preserve">Die vier bundesdeutschen Übertragungsnetzbetreiber </w:t>
      </w:r>
      <w:r w:rsidR="00EA556A">
        <w:rPr>
          <w:rFonts w:ascii="Times New Roman" w:eastAsia="Times New Roman" w:hAnsi="Times New Roman" w:cs="Times New Roman"/>
          <w:kern w:val="0"/>
          <w:sz w:val="24"/>
          <w:szCs w:val="24"/>
          <w:lang w:eastAsia="de-DE"/>
          <w14:ligatures w14:val="none"/>
        </w:rPr>
        <w:br/>
      </w:r>
      <w:r w:rsidRPr="00757E28">
        <w:rPr>
          <w:rFonts w:ascii="Times New Roman" w:eastAsia="Times New Roman" w:hAnsi="Times New Roman" w:cs="Times New Roman"/>
          <w:kern w:val="0"/>
          <w:sz w:val="24"/>
          <w:szCs w:val="24"/>
          <w:lang w:eastAsia="de-DE"/>
          <w14:ligatures w14:val="none"/>
        </w:rPr>
        <w:t xml:space="preserve">– TenneT, 50Hertz, Amprion, TransnetBW – sind für </w:t>
      </w:r>
      <w:r w:rsidR="00EA556A">
        <w:rPr>
          <w:rFonts w:ascii="Times New Roman" w:eastAsia="Times New Roman" w:hAnsi="Times New Roman" w:cs="Times New Roman"/>
          <w:kern w:val="0"/>
          <w:sz w:val="24"/>
          <w:szCs w:val="24"/>
          <w:lang w:eastAsia="de-DE"/>
          <w14:ligatures w14:val="none"/>
        </w:rPr>
        <w:br/>
      </w:r>
      <w:r w:rsidRPr="00757E28">
        <w:rPr>
          <w:rFonts w:ascii="Times New Roman" w:eastAsia="Times New Roman" w:hAnsi="Times New Roman" w:cs="Times New Roman"/>
          <w:kern w:val="0"/>
          <w:sz w:val="24"/>
          <w:szCs w:val="24"/>
          <w:lang w:eastAsia="de-DE"/>
          <w14:ligatures w14:val="none"/>
        </w:rPr>
        <w:t xml:space="preserve">ihre gleichnamigen Regelzonen verantwortlich und </w:t>
      </w:r>
      <w:r w:rsidR="00EA556A">
        <w:rPr>
          <w:rFonts w:ascii="Times New Roman" w:eastAsia="Times New Roman" w:hAnsi="Times New Roman" w:cs="Times New Roman"/>
          <w:kern w:val="0"/>
          <w:sz w:val="24"/>
          <w:szCs w:val="24"/>
          <w:lang w:eastAsia="de-DE"/>
          <w14:ligatures w14:val="none"/>
        </w:rPr>
        <w:br/>
      </w:r>
      <w:r w:rsidRPr="00757E28">
        <w:rPr>
          <w:rFonts w:ascii="Times New Roman" w:eastAsia="Times New Roman" w:hAnsi="Times New Roman" w:cs="Times New Roman"/>
          <w:kern w:val="0"/>
          <w:sz w:val="24"/>
          <w:szCs w:val="24"/>
          <w:lang w:eastAsia="de-DE"/>
          <w14:ligatures w14:val="none"/>
        </w:rPr>
        <w:t xml:space="preserve">verwalten die Menge aller Bilanzkreise in ihrem </w:t>
      </w:r>
      <w:r w:rsidR="00EA556A">
        <w:rPr>
          <w:rFonts w:ascii="Times New Roman" w:eastAsia="Times New Roman" w:hAnsi="Times New Roman" w:cs="Times New Roman"/>
          <w:kern w:val="0"/>
          <w:sz w:val="24"/>
          <w:szCs w:val="24"/>
          <w:lang w:eastAsia="de-DE"/>
          <w14:ligatures w14:val="none"/>
        </w:rPr>
        <w:br/>
      </w:r>
      <w:r w:rsidRPr="00757E28">
        <w:rPr>
          <w:rFonts w:ascii="Times New Roman" w:eastAsia="Times New Roman" w:hAnsi="Times New Roman" w:cs="Times New Roman"/>
          <w:kern w:val="0"/>
          <w:sz w:val="24"/>
          <w:szCs w:val="24"/>
          <w:lang w:eastAsia="de-DE"/>
          <w14:ligatures w14:val="none"/>
        </w:rPr>
        <w:t>Zuständigkeitsgebiet.</w:t>
      </w:r>
    </w:p>
    <w:p w14:paraId="65F1DE68" w14:textId="77777777" w:rsidR="00EA556A" w:rsidRDefault="00757E28">
      <w:pPr>
        <w:rPr>
          <w:rFonts w:ascii="Times New Roman" w:hAnsi="Times New Roman" w:cs="Times New Roman"/>
          <w:sz w:val="24"/>
          <w:szCs w:val="24"/>
        </w:rPr>
      </w:pPr>
      <w:r w:rsidRPr="00757E28">
        <w:rPr>
          <w:rFonts w:ascii="Times New Roman" w:hAnsi="Times New Roman" w:cs="Times New Roman"/>
          <w:sz w:val="24"/>
          <w:szCs w:val="24"/>
        </w:rPr>
        <w:t xml:space="preserve">Die Übertragungsnetzbetreiber (ÜNB) verantworten also, </w:t>
      </w:r>
      <w:r w:rsidR="00EA556A">
        <w:rPr>
          <w:rFonts w:ascii="Times New Roman" w:hAnsi="Times New Roman" w:cs="Times New Roman"/>
          <w:sz w:val="24"/>
          <w:szCs w:val="24"/>
        </w:rPr>
        <w:br/>
      </w:r>
      <w:r w:rsidRPr="00757E28">
        <w:rPr>
          <w:rFonts w:ascii="Times New Roman" w:hAnsi="Times New Roman" w:cs="Times New Roman"/>
          <w:sz w:val="24"/>
          <w:szCs w:val="24"/>
        </w:rPr>
        <w:t xml:space="preserve">dass das </w:t>
      </w:r>
      <w:r w:rsidRPr="00757E28">
        <w:rPr>
          <w:rStyle w:val="Fett"/>
          <w:rFonts w:ascii="Times New Roman" w:hAnsi="Times New Roman" w:cs="Times New Roman"/>
          <w:sz w:val="24"/>
          <w:szCs w:val="24"/>
        </w:rPr>
        <w:t xml:space="preserve">Zusammenspiel aus Einspeisung und </w:t>
      </w:r>
      <w:r w:rsidR="00EA556A">
        <w:rPr>
          <w:rStyle w:val="Fett"/>
          <w:rFonts w:ascii="Times New Roman" w:hAnsi="Times New Roman" w:cs="Times New Roman"/>
          <w:sz w:val="24"/>
          <w:szCs w:val="24"/>
        </w:rPr>
        <w:br/>
      </w:r>
      <w:r w:rsidRPr="00757E28">
        <w:rPr>
          <w:rStyle w:val="Fett"/>
          <w:rFonts w:ascii="Times New Roman" w:hAnsi="Times New Roman" w:cs="Times New Roman"/>
          <w:sz w:val="24"/>
          <w:szCs w:val="24"/>
        </w:rPr>
        <w:t>Verbrauch übereinstimmt</w:t>
      </w:r>
      <w:r w:rsidRPr="00757E28">
        <w:rPr>
          <w:rFonts w:ascii="Times New Roman" w:hAnsi="Times New Roman" w:cs="Times New Roman"/>
          <w:sz w:val="24"/>
          <w:szCs w:val="24"/>
        </w:rPr>
        <w:t xml:space="preserve"> und verlangen dafür von den</w:t>
      </w:r>
      <w:r w:rsidR="00EA556A">
        <w:rPr>
          <w:rFonts w:ascii="Times New Roman" w:hAnsi="Times New Roman" w:cs="Times New Roman"/>
          <w:sz w:val="24"/>
          <w:szCs w:val="24"/>
        </w:rPr>
        <w:br/>
      </w:r>
      <w:r w:rsidRPr="00757E28">
        <w:rPr>
          <w:rFonts w:ascii="Times New Roman" w:hAnsi="Times New Roman" w:cs="Times New Roman"/>
          <w:sz w:val="24"/>
          <w:szCs w:val="24"/>
        </w:rPr>
        <w:t>Bilanzkreisverantwortlichen (</w:t>
      </w:r>
      <w:r w:rsidRPr="00757E28">
        <w:rPr>
          <w:rStyle w:val="Fett"/>
          <w:rFonts w:ascii="Times New Roman" w:hAnsi="Times New Roman" w:cs="Times New Roman"/>
          <w:sz w:val="24"/>
          <w:szCs w:val="24"/>
        </w:rPr>
        <w:t>BKV</w:t>
      </w:r>
      <w:r w:rsidRPr="00757E28">
        <w:rPr>
          <w:rFonts w:ascii="Times New Roman" w:hAnsi="Times New Roman" w:cs="Times New Roman"/>
          <w:sz w:val="24"/>
          <w:szCs w:val="24"/>
        </w:rPr>
        <w:t xml:space="preserve">), dass sie ihre </w:t>
      </w:r>
      <w:r w:rsidR="00EA556A">
        <w:rPr>
          <w:rFonts w:ascii="Times New Roman" w:hAnsi="Times New Roman" w:cs="Times New Roman"/>
          <w:sz w:val="24"/>
          <w:szCs w:val="24"/>
        </w:rPr>
        <w:br/>
      </w:r>
      <w:r w:rsidRPr="00757E28">
        <w:rPr>
          <w:rFonts w:ascii="Times New Roman" w:hAnsi="Times New Roman" w:cs="Times New Roman"/>
          <w:sz w:val="24"/>
          <w:szCs w:val="24"/>
        </w:rPr>
        <w:t xml:space="preserve">Bilanzkreise im Gleichgewicht halten. </w:t>
      </w:r>
      <w:r w:rsidR="00EA556A">
        <w:rPr>
          <w:rFonts w:ascii="Times New Roman" w:hAnsi="Times New Roman" w:cs="Times New Roman"/>
          <w:sz w:val="24"/>
          <w:szCs w:val="24"/>
        </w:rPr>
        <w:br/>
      </w:r>
      <w:r w:rsidRPr="00757E28">
        <w:rPr>
          <w:rFonts w:ascii="Times New Roman" w:hAnsi="Times New Roman" w:cs="Times New Roman"/>
          <w:sz w:val="24"/>
          <w:szCs w:val="24"/>
        </w:rPr>
        <w:t xml:space="preserve">Hierzu erstellen diese am Vortag eine möglichst genaue </w:t>
      </w:r>
      <w:r w:rsidR="00EA556A">
        <w:rPr>
          <w:rFonts w:ascii="Times New Roman" w:hAnsi="Times New Roman" w:cs="Times New Roman"/>
          <w:sz w:val="24"/>
          <w:szCs w:val="24"/>
        </w:rPr>
        <w:br/>
      </w:r>
      <w:r w:rsidRPr="00757E28">
        <w:rPr>
          <w:rStyle w:val="Fett"/>
          <w:rFonts w:ascii="Times New Roman" w:hAnsi="Times New Roman" w:cs="Times New Roman"/>
          <w:sz w:val="24"/>
          <w:szCs w:val="24"/>
        </w:rPr>
        <w:t>Prognose auf Viertelstundenbasis</w:t>
      </w:r>
      <w:r w:rsidRPr="00757E28">
        <w:rPr>
          <w:rFonts w:ascii="Times New Roman" w:hAnsi="Times New Roman" w:cs="Times New Roman"/>
          <w:sz w:val="24"/>
          <w:szCs w:val="24"/>
        </w:rPr>
        <w:t xml:space="preserve"> für die abzuwickelnden Handelsgeschäfte. </w:t>
      </w:r>
    </w:p>
    <w:p w14:paraId="5F823F44" w14:textId="764C3DF5" w:rsidR="00757E28" w:rsidRPr="00757E28" w:rsidRDefault="00757E28">
      <w:pPr>
        <w:rPr>
          <w:rFonts w:ascii="Times New Roman" w:hAnsi="Times New Roman" w:cs="Times New Roman"/>
          <w:sz w:val="24"/>
          <w:szCs w:val="24"/>
        </w:rPr>
      </w:pPr>
      <w:r w:rsidRPr="00757E28">
        <w:rPr>
          <w:rFonts w:ascii="Times New Roman" w:hAnsi="Times New Roman" w:cs="Times New Roman"/>
          <w:sz w:val="24"/>
          <w:szCs w:val="24"/>
        </w:rPr>
        <w:lastRenderedPageBreak/>
        <w:t xml:space="preserve">Diesen </w:t>
      </w:r>
      <w:r w:rsidRPr="00757E28">
        <w:rPr>
          <w:rStyle w:val="Fett"/>
          <w:rFonts w:ascii="Times New Roman" w:hAnsi="Times New Roman" w:cs="Times New Roman"/>
          <w:sz w:val="24"/>
          <w:szCs w:val="24"/>
        </w:rPr>
        <w:t>Fahrplan</w:t>
      </w:r>
      <w:r w:rsidRPr="00757E28">
        <w:rPr>
          <w:rFonts w:ascii="Times New Roman" w:hAnsi="Times New Roman" w:cs="Times New Roman"/>
          <w:sz w:val="24"/>
          <w:szCs w:val="24"/>
        </w:rPr>
        <w:t xml:space="preserve"> übermitteln die BKV dann an die ÜNB. Die ÜNB gleichen daraufhin den Fahrplan mit ihren eignen Werten – den sogenannten </w:t>
      </w:r>
      <w:r w:rsidRPr="00757E28">
        <w:rPr>
          <w:rStyle w:val="Fett"/>
          <w:rFonts w:ascii="Times New Roman" w:hAnsi="Times New Roman" w:cs="Times New Roman"/>
          <w:sz w:val="24"/>
          <w:szCs w:val="24"/>
        </w:rPr>
        <w:t>Lastflussberechnungen</w:t>
      </w:r>
      <w:r w:rsidRPr="00757E28">
        <w:rPr>
          <w:rFonts w:ascii="Times New Roman" w:hAnsi="Times New Roman" w:cs="Times New Roman"/>
          <w:sz w:val="24"/>
          <w:szCs w:val="24"/>
        </w:rPr>
        <w:t xml:space="preserve"> – ab.</w:t>
      </w:r>
    </w:p>
    <w:p w14:paraId="6D4DCFC6" w14:textId="3D5635C8" w:rsidR="00757E28" w:rsidRPr="00757E28" w:rsidRDefault="00757E28">
      <w:pPr>
        <w:rPr>
          <w:rFonts w:ascii="Times New Roman" w:hAnsi="Times New Roman" w:cs="Times New Roman"/>
          <w:sz w:val="24"/>
          <w:szCs w:val="24"/>
        </w:rPr>
      </w:pPr>
      <w:r w:rsidRPr="00757E28">
        <w:rPr>
          <w:rFonts w:ascii="Times New Roman" w:hAnsi="Times New Roman" w:cs="Times New Roman"/>
          <w:sz w:val="24"/>
          <w:szCs w:val="24"/>
        </w:rPr>
        <w:t xml:space="preserve">Durch den steigenden Ausbau Erneuerbarer Energien werden Prognosen komplizierter. Insbesondere bei volatilen Stromerzeugungsanlagen ist die Abhängigkeit von wetterspezifischen bzw. saisonalen Effekten bedeutsam. Um von diesen, teils extremen Schwankungen unabhängiger zu sein, empfiehlt sich für einen BKV ein </w:t>
      </w:r>
      <w:r w:rsidRPr="00757E28">
        <w:rPr>
          <w:rStyle w:val="Fett"/>
          <w:rFonts w:ascii="Times New Roman" w:hAnsi="Times New Roman" w:cs="Times New Roman"/>
          <w:sz w:val="24"/>
          <w:szCs w:val="24"/>
        </w:rPr>
        <w:t>flexibles Portfolio</w:t>
      </w:r>
      <w:r w:rsidRPr="00757E28">
        <w:rPr>
          <w:rFonts w:ascii="Times New Roman" w:hAnsi="Times New Roman" w:cs="Times New Roman"/>
          <w:sz w:val="24"/>
          <w:szCs w:val="24"/>
        </w:rPr>
        <w:t>, das sowohl volatile als auch flexibel steuerbare Stromerzeuger und -verbraucher enthält. Steuerbare Stromerzeuger sind zum Beispiel Biogas- und KWK-Anlagen, Wasserkraftwerke oder Notstromaggregate. Auch Stromverbraucher können flexibel steuerbar sein, wenn sie ihren Stromverbrauch in gewissen Grenzen verlegen können. Batterien sind ebenfalls steuerbar, allerdings sind sie gleichzeitig Stromproduzenten und -verbraucher. Bis zu einem gewissen Grad können solche gut regelbaren und/ oder geografisch verteilten Stromquellen aus dem eigenen Portfolio zu einem wichtigen Hilfsmittel werden, um Unausgeglichenheiten zu vermeiden.</w:t>
      </w:r>
    </w:p>
    <w:p w14:paraId="187823C4" w14:textId="77777777" w:rsidR="00757E28" w:rsidRPr="00757E28" w:rsidRDefault="00757E28" w:rsidP="00757E28">
      <w:pPr>
        <w:spacing w:before="100" w:beforeAutospacing="1" w:after="100" w:afterAutospacing="1" w:line="240" w:lineRule="auto"/>
        <w:outlineLvl w:val="2"/>
        <w:rPr>
          <w:rFonts w:ascii="Times New Roman" w:eastAsia="Times New Roman" w:hAnsi="Times New Roman" w:cs="Times New Roman"/>
          <w:b/>
          <w:bCs/>
          <w:kern w:val="0"/>
          <w:sz w:val="28"/>
          <w:szCs w:val="28"/>
          <w:lang w:eastAsia="de-DE"/>
          <w14:ligatures w14:val="none"/>
        </w:rPr>
      </w:pPr>
      <w:r w:rsidRPr="00757E28">
        <w:rPr>
          <w:rFonts w:ascii="Times New Roman" w:eastAsia="Times New Roman" w:hAnsi="Times New Roman" w:cs="Times New Roman"/>
          <w:b/>
          <w:bCs/>
          <w:kern w:val="0"/>
          <w:sz w:val="28"/>
          <w:szCs w:val="28"/>
          <w:lang w:eastAsia="de-DE"/>
          <w14:ligatures w14:val="none"/>
        </w:rPr>
        <w:t>Die Balance im Bilanzkreis</w:t>
      </w:r>
    </w:p>
    <w:p w14:paraId="5400E540" w14:textId="31DDE9A9" w:rsidR="00757E28" w:rsidRDefault="00757E28" w:rsidP="00757E2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57E28">
        <w:rPr>
          <w:rFonts w:ascii="Times New Roman" w:eastAsia="Times New Roman" w:hAnsi="Times New Roman" w:cs="Times New Roman"/>
          <w:kern w:val="0"/>
          <w:sz w:val="24"/>
          <w:szCs w:val="24"/>
          <w:lang w:eastAsia="de-DE"/>
          <w14:ligatures w14:val="none"/>
        </w:rPr>
        <w:t xml:space="preserve">Die Übertragungsnetzbetreiber müssen bei einem </w:t>
      </w:r>
      <w:r w:rsidRPr="00757E28">
        <w:rPr>
          <w:rFonts w:ascii="Times New Roman" w:eastAsia="Times New Roman" w:hAnsi="Times New Roman" w:cs="Times New Roman"/>
          <w:b/>
          <w:bCs/>
          <w:kern w:val="0"/>
          <w:sz w:val="24"/>
          <w:szCs w:val="24"/>
          <w:lang w:eastAsia="de-DE"/>
          <w14:ligatures w14:val="none"/>
        </w:rPr>
        <w:t xml:space="preserve">Missverhältnis </w:t>
      </w:r>
      <w:r w:rsidR="00721691" w:rsidRPr="00757E28">
        <w:rPr>
          <w:rFonts w:ascii="Times New Roman" w:eastAsia="Times New Roman" w:hAnsi="Times New Roman" w:cs="Times New Roman"/>
          <w:b/>
          <w:bCs/>
          <w:kern w:val="0"/>
          <w:sz w:val="24"/>
          <w:szCs w:val="24"/>
          <w:lang w:eastAsia="de-DE"/>
          <w14:ligatures w14:val="none"/>
        </w:rPr>
        <w:t>zwischen fahrplanmäßigen und realen Strommengen</w:t>
      </w:r>
      <w:r w:rsidRPr="00757E28">
        <w:rPr>
          <w:rFonts w:ascii="Times New Roman" w:eastAsia="Times New Roman" w:hAnsi="Times New Roman" w:cs="Times New Roman"/>
          <w:kern w:val="0"/>
          <w:sz w:val="24"/>
          <w:szCs w:val="24"/>
          <w:lang w:eastAsia="de-DE"/>
          <w14:ligatures w14:val="none"/>
        </w:rPr>
        <w:t xml:space="preserve"> in zweierlei Hinsicht die Balance halten: Zum einen müssen sie die fehlende Strommenge physisch in Form von Regelenergie im Fahrplanmanagement </w:t>
      </w:r>
      <w:r w:rsidR="00EA556A" w:rsidRPr="00757E28">
        <w:rPr>
          <w:rFonts w:ascii="Times New Roman" w:eastAsia="Times New Roman" w:hAnsi="Times New Roman" w:cs="Times New Roman"/>
          <w:kern w:val="0"/>
          <w:sz w:val="24"/>
          <w:szCs w:val="24"/>
          <w:lang w:eastAsia="de-DE"/>
          <w14:ligatures w14:val="none"/>
        </w:rPr>
        <w:t>bereitstellen,</w:t>
      </w:r>
      <w:r w:rsidRPr="00757E28">
        <w:rPr>
          <w:rFonts w:ascii="Times New Roman" w:eastAsia="Times New Roman" w:hAnsi="Times New Roman" w:cs="Times New Roman"/>
          <w:kern w:val="0"/>
          <w:sz w:val="24"/>
          <w:szCs w:val="24"/>
          <w:lang w:eastAsia="de-DE"/>
          <w14:ligatures w14:val="none"/>
        </w:rPr>
        <w:t xml:space="preserve"> um die Netzsicherheit zu gewährleisten – allerdings nur, wenn sie in der jeweiligen Regelzone </w:t>
      </w:r>
      <w:r w:rsidRPr="00757E28">
        <w:rPr>
          <w:rFonts w:ascii="Times New Roman" w:eastAsia="Times New Roman" w:hAnsi="Times New Roman" w:cs="Times New Roman"/>
          <w:b/>
          <w:bCs/>
          <w:kern w:val="0"/>
          <w:sz w:val="24"/>
          <w:szCs w:val="24"/>
          <w:lang w:eastAsia="de-DE"/>
          <w14:ligatures w14:val="none"/>
        </w:rPr>
        <w:t>keine Über- oder Unterspeisungen</w:t>
      </w:r>
      <w:r w:rsidRPr="00757E28">
        <w:rPr>
          <w:rFonts w:ascii="Times New Roman" w:eastAsia="Times New Roman" w:hAnsi="Times New Roman" w:cs="Times New Roman"/>
          <w:kern w:val="0"/>
          <w:sz w:val="24"/>
          <w:szCs w:val="24"/>
          <w:lang w:eastAsia="de-DE"/>
          <w14:ligatures w14:val="none"/>
        </w:rPr>
        <w:t xml:space="preserve"> verrechnen können. Zum anderen müssen sie die ÜNB die Abweichungen bilanziell ausgleichen. Dazu muss der Bilanzkreiskoordinator (</w:t>
      </w:r>
      <w:r w:rsidRPr="00757E28">
        <w:rPr>
          <w:rFonts w:ascii="Times New Roman" w:eastAsia="Times New Roman" w:hAnsi="Times New Roman" w:cs="Times New Roman"/>
          <w:b/>
          <w:bCs/>
          <w:kern w:val="0"/>
          <w:sz w:val="24"/>
          <w:szCs w:val="24"/>
          <w:lang w:eastAsia="de-DE"/>
          <w14:ligatures w14:val="none"/>
        </w:rPr>
        <w:t>BIKO</w:t>
      </w:r>
      <w:r w:rsidRPr="00757E28">
        <w:rPr>
          <w:rFonts w:ascii="Times New Roman" w:eastAsia="Times New Roman" w:hAnsi="Times New Roman" w:cs="Times New Roman"/>
          <w:kern w:val="0"/>
          <w:sz w:val="24"/>
          <w:szCs w:val="24"/>
          <w:lang w:eastAsia="de-DE"/>
          <w14:ligatures w14:val="none"/>
        </w:rPr>
        <w:t xml:space="preserve">) des ÜNB zunächst die Bilanzkreisabweichungen ermitteln; diese stellt er anschließend dem Bilanzkreisverantwortlichen in Rechnung. Dieses virtuelle Konstrukt bezeichnet die Energiewirtschaft auch als </w:t>
      </w:r>
      <w:hyperlink r:id="rId8" w:tooltip="Erfahren Sie mehr über Ausgleichsenergie" w:history="1">
        <w:r w:rsidRPr="00757E28">
          <w:rPr>
            <w:rFonts w:ascii="Times New Roman" w:eastAsia="Times New Roman" w:hAnsi="Times New Roman" w:cs="Times New Roman"/>
            <w:color w:val="0000FF"/>
            <w:kern w:val="0"/>
            <w:sz w:val="24"/>
            <w:szCs w:val="24"/>
            <w:u w:val="single"/>
            <w:lang w:eastAsia="de-DE"/>
            <w14:ligatures w14:val="none"/>
          </w:rPr>
          <w:t>Ausgleichsenergie</w:t>
        </w:r>
      </w:hyperlink>
      <w:r w:rsidRPr="00757E28">
        <w:rPr>
          <w:rFonts w:ascii="Times New Roman" w:eastAsia="Times New Roman" w:hAnsi="Times New Roman" w:cs="Times New Roman"/>
          <w:kern w:val="0"/>
          <w:sz w:val="24"/>
          <w:szCs w:val="24"/>
          <w:lang w:eastAsia="de-DE"/>
          <w14:ligatures w14:val="none"/>
        </w:rPr>
        <w:t>. </w:t>
      </w:r>
      <w:r w:rsidRPr="00757E28">
        <w:rPr>
          <w:rFonts w:ascii="Times New Roman" w:eastAsia="Times New Roman" w:hAnsi="Times New Roman" w:cs="Times New Roman"/>
          <w:kern w:val="0"/>
          <w:sz w:val="24"/>
          <w:szCs w:val="24"/>
          <w:lang w:eastAsia="de-DE"/>
          <w14:ligatures w14:val="none"/>
        </w:rPr>
        <w:br/>
      </w:r>
      <w:r w:rsidRPr="00757E28">
        <w:rPr>
          <w:rFonts w:ascii="Times New Roman" w:eastAsia="Times New Roman" w:hAnsi="Times New Roman" w:cs="Times New Roman"/>
          <w:kern w:val="0"/>
          <w:sz w:val="24"/>
          <w:szCs w:val="24"/>
          <w:lang w:eastAsia="de-DE"/>
          <w14:ligatures w14:val="none"/>
        </w:rPr>
        <w:br/>
        <w:t>Die Ausgleichsenergie ist ein rein bilanzielles Hilfsmittel und stellt das erforderliche Gleichgewicht zwischen den Energiemengenkonten her. Der Preis für Ausgleichsenergie zwar meist höher als der reguläre Strompreis, kann aber zu Rückzahlungen führen, wenn der Bilanzkreis mehr Strom produziert als laut Fahrplan vorgesehen war und gleichzeitig die Regelzone überdeckt ist. Wenn der Bilanzkreisverantwortliche schlechte Prognosen stellt, führt dies auf Dauer zu Misswirtschaft, schlimmstenfalls zur Kündigung durch den ÜNB.</w:t>
      </w:r>
      <w:r w:rsidRPr="00757E28">
        <w:rPr>
          <w:rFonts w:ascii="Times New Roman" w:eastAsia="Times New Roman" w:hAnsi="Times New Roman" w:cs="Times New Roman"/>
          <w:kern w:val="0"/>
          <w:sz w:val="24"/>
          <w:szCs w:val="24"/>
          <w:lang w:eastAsia="de-DE"/>
          <w14:ligatures w14:val="none"/>
        </w:rPr>
        <w:br/>
      </w:r>
      <w:r w:rsidRPr="00757E28">
        <w:rPr>
          <w:rFonts w:ascii="Times New Roman" w:eastAsia="Times New Roman" w:hAnsi="Times New Roman" w:cs="Times New Roman"/>
          <w:kern w:val="0"/>
          <w:sz w:val="24"/>
          <w:szCs w:val="24"/>
          <w:lang w:eastAsia="de-DE"/>
          <w14:ligatures w14:val="none"/>
        </w:rPr>
        <w:br/>
      </w:r>
      <w:proofErr w:type="gramStart"/>
      <w:r w:rsidRPr="00757E28">
        <w:rPr>
          <w:rFonts w:ascii="Times New Roman" w:eastAsia="Times New Roman" w:hAnsi="Times New Roman" w:cs="Times New Roman"/>
          <w:kern w:val="0"/>
          <w:sz w:val="24"/>
          <w:szCs w:val="24"/>
          <w:lang w:eastAsia="de-DE"/>
          <w14:ligatures w14:val="none"/>
        </w:rPr>
        <w:t>Hier</w:t>
      </w:r>
      <w:proofErr w:type="gramEnd"/>
      <w:r w:rsidRPr="00757E28">
        <w:rPr>
          <w:rFonts w:ascii="Times New Roman" w:eastAsia="Times New Roman" w:hAnsi="Times New Roman" w:cs="Times New Roman"/>
          <w:kern w:val="0"/>
          <w:sz w:val="24"/>
          <w:szCs w:val="24"/>
          <w:lang w:eastAsia="de-DE"/>
          <w14:ligatures w14:val="none"/>
        </w:rPr>
        <w:t xml:space="preserve"> noch ein Beispiel, um die Vorgehensweise zu veranschaulichen: Ein Stromhändler bewirtschaftet einen Bilanzkreis mit einem hohen Anteil an Windkraftanlagen. Dazu gibt er jeden Tag eine </w:t>
      </w:r>
      <w:r w:rsidRPr="00757E28">
        <w:rPr>
          <w:rFonts w:ascii="Times New Roman" w:eastAsia="Times New Roman" w:hAnsi="Times New Roman" w:cs="Times New Roman"/>
          <w:b/>
          <w:bCs/>
          <w:kern w:val="0"/>
          <w:sz w:val="24"/>
          <w:szCs w:val="24"/>
          <w:lang w:eastAsia="de-DE"/>
          <w14:ligatures w14:val="none"/>
        </w:rPr>
        <w:t>Prognose</w:t>
      </w:r>
      <w:r w:rsidRPr="00757E28">
        <w:rPr>
          <w:rFonts w:ascii="Times New Roman" w:eastAsia="Times New Roman" w:hAnsi="Times New Roman" w:cs="Times New Roman"/>
          <w:kern w:val="0"/>
          <w:sz w:val="24"/>
          <w:szCs w:val="24"/>
          <w:lang w:eastAsia="de-DE"/>
          <w14:ligatures w14:val="none"/>
        </w:rPr>
        <w:t xml:space="preserve"> für den darauffolgenden Tag ab. Eine unerwartete Sturmfront erzeugt jedoch in manchen Viertelstunden mehr Strom als der Stromhändler am Vortag prognostizierte. Nun wählt er zwischen verschiedenen Möglichkeiten: Entweder wird der Stromhändler </w:t>
      </w:r>
      <w:proofErr w:type="gramStart"/>
      <w:r w:rsidRPr="00757E28">
        <w:rPr>
          <w:rFonts w:ascii="Times New Roman" w:eastAsia="Times New Roman" w:hAnsi="Times New Roman" w:cs="Times New Roman"/>
          <w:kern w:val="0"/>
          <w:sz w:val="24"/>
          <w:szCs w:val="24"/>
          <w:lang w:eastAsia="de-DE"/>
          <w14:ligatures w14:val="none"/>
        </w:rPr>
        <w:t>selber</w:t>
      </w:r>
      <w:proofErr w:type="gramEnd"/>
      <w:r w:rsidRPr="00757E28">
        <w:rPr>
          <w:rFonts w:ascii="Times New Roman" w:eastAsia="Times New Roman" w:hAnsi="Times New Roman" w:cs="Times New Roman"/>
          <w:kern w:val="0"/>
          <w:sz w:val="24"/>
          <w:szCs w:val="24"/>
          <w:lang w:eastAsia="de-DE"/>
          <w14:ligatures w14:val="none"/>
        </w:rPr>
        <w:t xml:space="preserve"> aktiv. Dazu „</w:t>
      </w:r>
      <w:r w:rsidRPr="00757E28">
        <w:rPr>
          <w:rFonts w:ascii="Times New Roman" w:eastAsia="Times New Roman" w:hAnsi="Times New Roman" w:cs="Times New Roman"/>
          <w:b/>
          <w:bCs/>
          <w:kern w:val="0"/>
          <w:sz w:val="24"/>
          <w:szCs w:val="24"/>
          <w:lang w:eastAsia="de-DE"/>
          <w14:ligatures w14:val="none"/>
        </w:rPr>
        <w:t>glättet</w:t>
      </w:r>
      <w:r w:rsidRPr="00757E28">
        <w:rPr>
          <w:rFonts w:ascii="Times New Roman" w:eastAsia="Times New Roman" w:hAnsi="Times New Roman" w:cs="Times New Roman"/>
          <w:kern w:val="0"/>
          <w:sz w:val="24"/>
          <w:szCs w:val="24"/>
          <w:lang w:eastAsia="de-DE"/>
          <w14:ligatures w14:val="none"/>
        </w:rPr>
        <w:t xml:space="preserve">“ er seinen Bilanzkreis, indem er in den jeweiligen Viertelstunden am Intraday-Markt mehr Strom verkauft als ursprünglich geplant. Dieser Verkauf findet als anonymisierte Transaktion zwischen zwei Stromhändlern innerhalb der Regelzone statt. Wenn der Stromhändler mit einer </w:t>
      </w:r>
      <w:r w:rsidRPr="00757E28">
        <w:rPr>
          <w:rFonts w:ascii="Times New Roman" w:eastAsia="Times New Roman" w:hAnsi="Times New Roman" w:cs="Times New Roman"/>
          <w:b/>
          <w:bCs/>
          <w:kern w:val="0"/>
          <w:sz w:val="24"/>
          <w:szCs w:val="24"/>
          <w:lang w:eastAsia="de-DE"/>
          <w14:ligatures w14:val="none"/>
        </w:rPr>
        <w:t>Fernwirktechnik</w:t>
      </w:r>
      <w:r w:rsidRPr="00757E28">
        <w:rPr>
          <w:rFonts w:ascii="Times New Roman" w:eastAsia="Times New Roman" w:hAnsi="Times New Roman" w:cs="Times New Roman"/>
          <w:kern w:val="0"/>
          <w:sz w:val="24"/>
          <w:szCs w:val="24"/>
          <w:lang w:eastAsia="de-DE"/>
          <w14:ligatures w14:val="none"/>
        </w:rPr>
        <w:t xml:space="preserve"> auf die Windkraftanlage in seinem Portfolio zugreift, kann er außerdem die Anlagen abregeln. Letzte Möglichkeit: Der Stromhändler reagiert nicht und nimmt eventuelle </w:t>
      </w:r>
      <w:r w:rsidRPr="00757E28">
        <w:rPr>
          <w:rFonts w:ascii="Times New Roman" w:eastAsia="Times New Roman" w:hAnsi="Times New Roman" w:cs="Times New Roman"/>
          <w:b/>
          <w:bCs/>
          <w:kern w:val="0"/>
          <w:sz w:val="24"/>
          <w:szCs w:val="24"/>
          <w:lang w:eastAsia="de-DE"/>
          <w14:ligatures w14:val="none"/>
        </w:rPr>
        <w:t>Ausgleichsenergiekosten</w:t>
      </w:r>
      <w:r w:rsidRPr="00757E28">
        <w:rPr>
          <w:rFonts w:ascii="Times New Roman" w:eastAsia="Times New Roman" w:hAnsi="Times New Roman" w:cs="Times New Roman"/>
          <w:kern w:val="0"/>
          <w:sz w:val="24"/>
          <w:szCs w:val="24"/>
          <w:lang w:eastAsia="de-DE"/>
          <w14:ligatures w14:val="none"/>
        </w:rPr>
        <w:t xml:space="preserve"> in Kauf – was aber den Marktregeln widerspricht (§ 4 Abs. 2 </w:t>
      </w:r>
      <w:proofErr w:type="spellStart"/>
      <w:r w:rsidRPr="00757E28">
        <w:rPr>
          <w:rFonts w:ascii="Times New Roman" w:eastAsia="Times New Roman" w:hAnsi="Times New Roman" w:cs="Times New Roman"/>
          <w:kern w:val="0"/>
          <w:sz w:val="24"/>
          <w:szCs w:val="24"/>
          <w:lang w:eastAsia="de-DE"/>
          <w14:ligatures w14:val="none"/>
        </w:rPr>
        <w:t>StromNZV</w:t>
      </w:r>
      <w:proofErr w:type="spellEnd"/>
      <w:r w:rsidRPr="00757E28">
        <w:rPr>
          <w:rFonts w:ascii="Times New Roman" w:eastAsia="Times New Roman" w:hAnsi="Times New Roman" w:cs="Times New Roman"/>
          <w:kern w:val="0"/>
          <w:sz w:val="24"/>
          <w:szCs w:val="24"/>
          <w:lang w:eastAsia="de-DE"/>
          <w14:ligatures w14:val="none"/>
        </w:rPr>
        <w:t xml:space="preserve"> und Ziffer 5.2. des Standardbilanzkreisvertrags) und nicht zu empfehlen ist.</w:t>
      </w:r>
    </w:p>
    <w:p w14:paraId="7502E38E" w14:textId="77777777" w:rsidR="00EA556A" w:rsidRPr="00757E28" w:rsidRDefault="00EA556A" w:rsidP="00757E2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p>
    <w:p w14:paraId="4167BA4B" w14:textId="77777777" w:rsidR="00757E28" w:rsidRPr="00757E28" w:rsidRDefault="00757E28" w:rsidP="00757E28">
      <w:pPr>
        <w:spacing w:before="100" w:beforeAutospacing="1" w:after="100" w:afterAutospacing="1" w:line="240" w:lineRule="auto"/>
        <w:outlineLvl w:val="2"/>
        <w:rPr>
          <w:rFonts w:ascii="Times New Roman" w:eastAsia="Times New Roman" w:hAnsi="Times New Roman" w:cs="Times New Roman"/>
          <w:b/>
          <w:bCs/>
          <w:kern w:val="0"/>
          <w:sz w:val="28"/>
          <w:szCs w:val="28"/>
          <w:lang w:eastAsia="de-DE"/>
          <w14:ligatures w14:val="none"/>
        </w:rPr>
      </w:pPr>
      <w:r w:rsidRPr="00757E28">
        <w:rPr>
          <w:rFonts w:ascii="Times New Roman" w:eastAsia="Times New Roman" w:hAnsi="Times New Roman" w:cs="Times New Roman"/>
          <w:b/>
          <w:bCs/>
          <w:kern w:val="0"/>
          <w:sz w:val="28"/>
          <w:szCs w:val="28"/>
          <w:lang w:eastAsia="de-DE"/>
          <w14:ligatures w14:val="none"/>
        </w:rPr>
        <w:lastRenderedPageBreak/>
        <w:t>So funktioniert das Bilanzkreismanagement</w:t>
      </w:r>
    </w:p>
    <w:p w14:paraId="43629441" w14:textId="77777777" w:rsidR="00757E28" w:rsidRPr="00757E28" w:rsidRDefault="00757E28" w:rsidP="00757E2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57E28">
        <w:rPr>
          <w:rFonts w:ascii="Times New Roman" w:eastAsia="Times New Roman" w:hAnsi="Times New Roman" w:cs="Times New Roman"/>
          <w:kern w:val="0"/>
          <w:sz w:val="24"/>
          <w:szCs w:val="24"/>
          <w:lang w:eastAsia="de-DE"/>
          <w14:ligatures w14:val="none"/>
        </w:rPr>
        <w:t xml:space="preserve">Um das Risiko von Ausgleichsenergiekosten langfristig zu reduzieren, müssen Bilanzkreisverantwortliche ihre Bilanzkreisinteraktionen analytisch steuern. Dieses </w:t>
      </w:r>
      <w:r w:rsidRPr="00757E28">
        <w:rPr>
          <w:rFonts w:ascii="Times New Roman" w:eastAsia="Times New Roman" w:hAnsi="Times New Roman" w:cs="Times New Roman"/>
          <w:b/>
          <w:bCs/>
          <w:kern w:val="0"/>
          <w:sz w:val="24"/>
          <w:szCs w:val="24"/>
          <w:lang w:eastAsia="de-DE"/>
          <w14:ligatures w14:val="none"/>
        </w:rPr>
        <w:t>Bilanzkreismanagement</w:t>
      </w:r>
      <w:r w:rsidRPr="00757E28">
        <w:rPr>
          <w:rFonts w:ascii="Times New Roman" w:eastAsia="Times New Roman" w:hAnsi="Times New Roman" w:cs="Times New Roman"/>
          <w:kern w:val="0"/>
          <w:sz w:val="24"/>
          <w:szCs w:val="24"/>
          <w:lang w:eastAsia="de-DE"/>
          <w14:ligatures w14:val="none"/>
        </w:rPr>
        <w:t xml:space="preserve"> enthält neben der täglichen Prognose folgende Aufgabenfelder:</w:t>
      </w:r>
    </w:p>
    <w:p w14:paraId="37DE669E" w14:textId="77777777" w:rsidR="00757E28" w:rsidRPr="00757E28" w:rsidRDefault="00757E28" w:rsidP="00757E2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57E28">
        <w:rPr>
          <w:rFonts w:ascii="Times New Roman" w:eastAsia="Times New Roman" w:hAnsi="Times New Roman" w:cs="Times New Roman"/>
          <w:kern w:val="0"/>
          <w:sz w:val="24"/>
          <w:szCs w:val="24"/>
          <w:lang w:eastAsia="de-DE"/>
          <w14:ligatures w14:val="none"/>
        </w:rPr>
        <w:t>Abwicklung der Bilanzkreisregistrierung mit dem BIKO und zuständigen Verteilnetzbetreiber</w:t>
      </w:r>
    </w:p>
    <w:p w14:paraId="6A138F8A" w14:textId="77777777" w:rsidR="00757E28" w:rsidRPr="00757E28" w:rsidRDefault="00757E28" w:rsidP="00757E2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57E28">
        <w:rPr>
          <w:rFonts w:ascii="Times New Roman" w:eastAsia="Times New Roman" w:hAnsi="Times New Roman" w:cs="Times New Roman"/>
          <w:kern w:val="0"/>
          <w:sz w:val="24"/>
          <w:szCs w:val="24"/>
          <w:lang w:eastAsia="de-DE"/>
          <w14:ligatures w14:val="none"/>
        </w:rPr>
        <w:t>Bilanzkreisführung gemäß aller gültigen Richtlinien und Verordnungen</w:t>
      </w:r>
    </w:p>
    <w:p w14:paraId="0B76A0AA" w14:textId="77777777" w:rsidR="00757E28" w:rsidRPr="00757E28" w:rsidRDefault="00757E28" w:rsidP="00757E2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57E28">
        <w:rPr>
          <w:rFonts w:ascii="Times New Roman" w:eastAsia="Times New Roman" w:hAnsi="Times New Roman" w:cs="Times New Roman"/>
          <w:kern w:val="0"/>
          <w:sz w:val="24"/>
          <w:szCs w:val="24"/>
          <w:lang w:eastAsia="de-DE"/>
          <w14:ligatures w14:val="none"/>
        </w:rPr>
        <w:t>Bilanzkreisabrechnung gemäß Marktregeln für die Durchführung der Bilanzkreisabrechnung Strom (</w:t>
      </w:r>
      <w:proofErr w:type="spellStart"/>
      <w:r w:rsidRPr="00757E28">
        <w:rPr>
          <w:rFonts w:ascii="Times New Roman" w:eastAsia="Times New Roman" w:hAnsi="Times New Roman" w:cs="Times New Roman"/>
          <w:kern w:val="0"/>
          <w:sz w:val="24"/>
          <w:szCs w:val="24"/>
          <w:lang w:eastAsia="de-DE"/>
          <w14:ligatures w14:val="none"/>
        </w:rPr>
        <w:t>MaBiS</w:t>
      </w:r>
      <w:proofErr w:type="spellEnd"/>
      <w:r w:rsidRPr="00757E28">
        <w:rPr>
          <w:rFonts w:ascii="Times New Roman" w:eastAsia="Times New Roman" w:hAnsi="Times New Roman" w:cs="Times New Roman"/>
          <w:kern w:val="0"/>
          <w:sz w:val="24"/>
          <w:szCs w:val="24"/>
          <w:lang w:eastAsia="de-DE"/>
          <w14:ligatures w14:val="none"/>
        </w:rPr>
        <w:t>)</w:t>
      </w:r>
    </w:p>
    <w:p w14:paraId="60FE5314" w14:textId="77777777" w:rsidR="00757E28" w:rsidRPr="00757E28" w:rsidRDefault="00757E28" w:rsidP="00757E2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57E28">
        <w:rPr>
          <w:rFonts w:ascii="Times New Roman" w:eastAsia="Times New Roman" w:hAnsi="Times New Roman" w:cs="Times New Roman"/>
          <w:kern w:val="0"/>
          <w:sz w:val="24"/>
          <w:szCs w:val="24"/>
          <w:lang w:eastAsia="de-DE"/>
          <w14:ligatures w14:val="none"/>
        </w:rPr>
        <w:t>Energiedatenmanagement (EDM)</w:t>
      </w:r>
    </w:p>
    <w:p w14:paraId="17C5FE62" w14:textId="77777777" w:rsidR="00757E28" w:rsidRPr="00757E28" w:rsidRDefault="00757E28" w:rsidP="00757E2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hyperlink r:id="rId9" w:tooltip="Erfahren Sie mehr über Dispatch" w:history="1">
        <w:r w:rsidRPr="00757E28">
          <w:rPr>
            <w:rFonts w:ascii="Times New Roman" w:eastAsia="Times New Roman" w:hAnsi="Times New Roman" w:cs="Times New Roman"/>
            <w:color w:val="0000FF"/>
            <w:kern w:val="0"/>
            <w:sz w:val="24"/>
            <w:szCs w:val="24"/>
            <w:u w:val="single"/>
            <w:lang w:eastAsia="de-DE"/>
            <w14:ligatures w14:val="none"/>
          </w:rPr>
          <w:t>Dispatch</w:t>
        </w:r>
      </w:hyperlink>
      <w:r w:rsidRPr="00757E28">
        <w:rPr>
          <w:rFonts w:ascii="Times New Roman" w:eastAsia="Times New Roman" w:hAnsi="Times New Roman" w:cs="Times New Roman"/>
          <w:kern w:val="0"/>
          <w:sz w:val="24"/>
          <w:szCs w:val="24"/>
          <w:lang w:eastAsia="de-DE"/>
          <w14:ligatures w14:val="none"/>
        </w:rPr>
        <w:t xml:space="preserve"> und </w:t>
      </w:r>
      <w:hyperlink r:id="rId10" w:anchor="redispatch" w:tooltip="Erfahren Sie mehr über Redispatch" w:history="1">
        <w:r w:rsidRPr="00757E28">
          <w:rPr>
            <w:rFonts w:ascii="Times New Roman" w:eastAsia="Times New Roman" w:hAnsi="Times New Roman" w:cs="Times New Roman"/>
            <w:color w:val="0000FF"/>
            <w:kern w:val="0"/>
            <w:sz w:val="24"/>
            <w:szCs w:val="24"/>
            <w:u w:val="single"/>
            <w:lang w:eastAsia="de-DE"/>
            <w14:ligatures w14:val="none"/>
          </w:rPr>
          <w:t>Redispatch</w:t>
        </w:r>
      </w:hyperlink>
    </w:p>
    <w:p w14:paraId="21BCC075" w14:textId="77777777" w:rsidR="00757E28" w:rsidRPr="00757E28" w:rsidRDefault="00757E28" w:rsidP="00757E2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57E28">
        <w:rPr>
          <w:rFonts w:ascii="Times New Roman" w:eastAsia="Times New Roman" w:hAnsi="Times New Roman" w:cs="Times New Roman"/>
          <w:kern w:val="0"/>
          <w:sz w:val="24"/>
          <w:szCs w:val="24"/>
          <w:lang w:eastAsia="de-DE"/>
          <w14:ligatures w14:val="none"/>
        </w:rPr>
        <w:t>Portfolio- und Residualprofilvermarktung.</w:t>
      </w:r>
    </w:p>
    <w:p w14:paraId="61300D96" w14:textId="77777777" w:rsidR="00757E28" w:rsidRPr="00757E28" w:rsidRDefault="00757E28" w:rsidP="00757E28">
      <w:pPr>
        <w:spacing w:before="100" w:beforeAutospacing="1" w:after="100" w:afterAutospacing="1" w:line="240" w:lineRule="auto"/>
        <w:outlineLvl w:val="1"/>
        <w:rPr>
          <w:rFonts w:ascii="Times New Roman" w:eastAsia="Times New Roman" w:hAnsi="Times New Roman" w:cs="Times New Roman"/>
          <w:b/>
          <w:bCs/>
          <w:kern w:val="0"/>
          <w:sz w:val="28"/>
          <w:szCs w:val="28"/>
          <w:lang w:eastAsia="de-DE"/>
          <w14:ligatures w14:val="none"/>
        </w:rPr>
      </w:pPr>
      <w:r w:rsidRPr="00757E28">
        <w:rPr>
          <w:rFonts w:ascii="Times New Roman" w:eastAsia="Times New Roman" w:hAnsi="Times New Roman" w:cs="Times New Roman"/>
          <w:b/>
          <w:bCs/>
          <w:kern w:val="0"/>
          <w:sz w:val="28"/>
          <w:szCs w:val="28"/>
          <w:lang w:eastAsia="de-DE"/>
          <w14:ligatures w14:val="none"/>
        </w:rPr>
        <w:t>Anpassungen im Bilanzkreismanagement</w:t>
      </w:r>
    </w:p>
    <w:p w14:paraId="0B861F78" w14:textId="77777777" w:rsidR="00757E28" w:rsidRPr="00757E28" w:rsidRDefault="00757E28" w:rsidP="00757E2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57E28">
        <w:rPr>
          <w:rFonts w:ascii="Times New Roman" w:eastAsia="Times New Roman" w:hAnsi="Times New Roman" w:cs="Times New Roman"/>
          <w:kern w:val="0"/>
          <w:sz w:val="24"/>
          <w:szCs w:val="24"/>
          <w:lang w:eastAsia="de-DE"/>
          <w14:ligatures w14:val="none"/>
        </w:rPr>
        <w:t xml:space="preserve">Die Regulierungen zum Bilanzkreismanagement müssen </w:t>
      </w:r>
      <w:r w:rsidRPr="00757E28">
        <w:rPr>
          <w:rFonts w:ascii="Times New Roman" w:eastAsia="Times New Roman" w:hAnsi="Times New Roman" w:cs="Times New Roman"/>
          <w:b/>
          <w:bCs/>
          <w:kern w:val="0"/>
          <w:sz w:val="24"/>
          <w:szCs w:val="24"/>
          <w:lang w:eastAsia="de-DE"/>
          <w14:ligatures w14:val="none"/>
        </w:rPr>
        <w:t>kontinuierlich auf Entwicklungen im Markt reagieren</w:t>
      </w:r>
      <w:r w:rsidRPr="00757E28">
        <w:rPr>
          <w:rFonts w:ascii="Times New Roman" w:eastAsia="Times New Roman" w:hAnsi="Times New Roman" w:cs="Times New Roman"/>
          <w:kern w:val="0"/>
          <w:sz w:val="24"/>
          <w:szCs w:val="24"/>
          <w:lang w:eastAsia="de-DE"/>
          <w14:ligatures w14:val="none"/>
        </w:rPr>
        <w:t xml:space="preserve">: Mit der Einführung des </w:t>
      </w:r>
      <w:hyperlink r:id="rId11" w:tooltip="Lesen Sie hier mehr über Mischpreisverfahren" w:history="1">
        <w:r w:rsidRPr="00757E28">
          <w:rPr>
            <w:rFonts w:ascii="Times New Roman" w:eastAsia="Times New Roman" w:hAnsi="Times New Roman" w:cs="Times New Roman"/>
            <w:color w:val="0000FF"/>
            <w:kern w:val="0"/>
            <w:sz w:val="24"/>
            <w:szCs w:val="24"/>
            <w:u w:val="single"/>
            <w:lang w:eastAsia="de-DE"/>
            <w14:ligatures w14:val="none"/>
          </w:rPr>
          <w:t>Mischpreisverfahrens</w:t>
        </w:r>
      </w:hyperlink>
      <w:r w:rsidRPr="00757E28">
        <w:rPr>
          <w:rFonts w:ascii="Times New Roman" w:eastAsia="Times New Roman" w:hAnsi="Times New Roman" w:cs="Times New Roman"/>
          <w:kern w:val="0"/>
          <w:sz w:val="24"/>
          <w:szCs w:val="24"/>
          <w:lang w:eastAsia="de-DE"/>
          <w14:ligatures w14:val="none"/>
        </w:rPr>
        <w:t xml:space="preserve"> war es 2018/2019 zu einigen Turbulenzen am Regelenergiemarkt gekommen, die auch Auswirkungen auf die </w:t>
      </w:r>
      <w:hyperlink r:id="rId12" w:tooltip="Lesen Sie hier mehr über Netzfrequenz" w:history="1">
        <w:r w:rsidRPr="00757E28">
          <w:rPr>
            <w:rFonts w:ascii="Times New Roman" w:eastAsia="Times New Roman" w:hAnsi="Times New Roman" w:cs="Times New Roman"/>
            <w:color w:val="0000FF"/>
            <w:kern w:val="0"/>
            <w:sz w:val="24"/>
            <w:szCs w:val="24"/>
            <w:u w:val="single"/>
            <w:lang w:eastAsia="de-DE"/>
            <w14:ligatures w14:val="none"/>
          </w:rPr>
          <w:t>Netzfrequenz</w:t>
        </w:r>
      </w:hyperlink>
      <w:r w:rsidRPr="00757E28">
        <w:rPr>
          <w:rFonts w:ascii="Times New Roman" w:eastAsia="Times New Roman" w:hAnsi="Times New Roman" w:cs="Times New Roman"/>
          <w:kern w:val="0"/>
          <w:sz w:val="24"/>
          <w:szCs w:val="24"/>
          <w:lang w:eastAsia="de-DE"/>
          <w14:ligatures w14:val="none"/>
        </w:rPr>
        <w:t xml:space="preserve"> hatten. Diese wiederholten Stresszustände im Stromnetz </w:t>
      </w:r>
      <w:r w:rsidRPr="00757E28">
        <w:rPr>
          <w:rFonts w:ascii="Times New Roman" w:eastAsia="Times New Roman" w:hAnsi="Times New Roman" w:cs="Times New Roman"/>
          <w:b/>
          <w:bCs/>
          <w:kern w:val="0"/>
          <w:sz w:val="24"/>
          <w:szCs w:val="24"/>
          <w:lang w:eastAsia="de-DE"/>
          <w14:ligatures w14:val="none"/>
        </w:rPr>
        <w:t>entstanden durch eine Entwertung der Regelenergie</w:t>
      </w:r>
      <w:r w:rsidRPr="00757E28">
        <w:rPr>
          <w:rFonts w:ascii="Times New Roman" w:eastAsia="Times New Roman" w:hAnsi="Times New Roman" w:cs="Times New Roman"/>
          <w:kern w:val="0"/>
          <w:sz w:val="24"/>
          <w:szCs w:val="24"/>
          <w:lang w:eastAsia="de-DE"/>
          <w14:ligatures w14:val="none"/>
        </w:rPr>
        <w:t xml:space="preserve"> als letzter Reserve im Stromnetz – Bilanzkreise konnten billiger auf dem Regelenergiemarkt als auf dem </w:t>
      </w:r>
      <w:hyperlink r:id="rId13" w:tooltip="Erfahren Sie mehr über den Intraday-Handel" w:history="1">
        <w:proofErr w:type="spellStart"/>
        <w:r w:rsidRPr="00757E28">
          <w:rPr>
            <w:rFonts w:ascii="Times New Roman" w:eastAsia="Times New Roman" w:hAnsi="Times New Roman" w:cs="Times New Roman"/>
            <w:color w:val="0000FF"/>
            <w:kern w:val="0"/>
            <w:sz w:val="24"/>
            <w:szCs w:val="24"/>
            <w:u w:val="single"/>
            <w:lang w:eastAsia="de-DE"/>
            <w14:ligatures w14:val="none"/>
          </w:rPr>
          <w:t>Intradaymarkt</w:t>
        </w:r>
        <w:proofErr w:type="spellEnd"/>
      </w:hyperlink>
      <w:r w:rsidRPr="00757E28">
        <w:rPr>
          <w:rFonts w:ascii="Times New Roman" w:eastAsia="Times New Roman" w:hAnsi="Times New Roman" w:cs="Times New Roman"/>
          <w:kern w:val="0"/>
          <w:sz w:val="24"/>
          <w:szCs w:val="24"/>
          <w:lang w:eastAsia="de-DE"/>
          <w14:ligatures w14:val="none"/>
        </w:rPr>
        <w:t xml:space="preserve"> glattgestellt werden. In der Folge sackte die Netzfrequenz mehrmals bis fast an die </w:t>
      </w:r>
      <w:proofErr w:type="spellStart"/>
      <w:r w:rsidRPr="00757E28">
        <w:rPr>
          <w:rFonts w:ascii="Times New Roman" w:eastAsia="Times New Roman" w:hAnsi="Times New Roman" w:cs="Times New Roman"/>
          <w:kern w:val="0"/>
          <w:sz w:val="24"/>
          <w:szCs w:val="24"/>
          <w:lang w:eastAsia="de-DE"/>
          <w14:ligatures w14:val="none"/>
        </w:rPr>
        <w:t>Blackoutgrenze</w:t>
      </w:r>
      <w:proofErr w:type="spellEnd"/>
      <w:r w:rsidRPr="00757E28">
        <w:rPr>
          <w:rFonts w:ascii="Times New Roman" w:eastAsia="Times New Roman" w:hAnsi="Times New Roman" w:cs="Times New Roman"/>
          <w:kern w:val="0"/>
          <w:sz w:val="24"/>
          <w:szCs w:val="24"/>
          <w:lang w:eastAsia="de-DE"/>
          <w14:ligatures w14:val="none"/>
        </w:rPr>
        <w:t xml:space="preserve"> ab. Auch wenn der Gerichtsbeschluss zur </w:t>
      </w:r>
      <w:hyperlink r:id="rId14" w:tooltip="Lesen Sie mehr über die Aufhebung des Mischpreisverfahrens" w:history="1">
        <w:r w:rsidRPr="00757E28">
          <w:rPr>
            <w:rFonts w:ascii="Times New Roman" w:eastAsia="Times New Roman" w:hAnsi="Times New Roman" w:cs="Times New Roman"/>
            <w:color w:val="0000FF"/>
            <w:kern w:val="0"/>
            <w:sz w:val="24"/>
            <w:szCs w:val="24"/>
            <w:u w:val="single"/>
            <w:lang w:eastAsia="de-DE"/>
            <w14:ligatures w14:val="none"/>
          </w:rPr>
          <w:t>Aufhebung des Mischpreisverfahrens</w:t>
        </w:r>
      </w:hyperlink>
      <w:r w:rsidRPr="00757E28">
        <w:rPr>
          <w:rFonts w:ascii="Times New Roman" w:eastAsia="Times New Roman" w:hAnsi="Times New Roman" w:cs="Times New Roman"/>
          <w:kern w:val="0"/>
          <w:sz w:val="24"/>
          <w:szCs w:val="24"/>
          <w:lang w:eastAsia="de-DE"/>
          <w14:ligatures w14:val="none"/>
        </w:rPr>
        <w:t xml:space="preserve"> aus dem Juli 2019 Abhilfe schaffte, sah die Bundesnetzagentur (</w:t>
      </w:r>
      <w:r w:rsidRPr="00757E28">
        <w:rPr>
          <w:rFonts w:ascii="Times New Roman" w:eastAsia="Times New Roman" w:hAnsi="Times New Roman" w:cs="Times New Roman"/>
          <w:b/>
          <w:bCs/>
          <w:kern w:val="0"/>
          <w:sz w:val="24"/>
          <w:szCs w:val="24"/>
          <w:lang w:eastAsia="de-DE"/>
          <w14:ligatures w14:val="none"/>
        </w:rPr>
        <w:t>BNetzA</w:t>
      </w:r>
      <w:r w:rsidRPr="00757E28">
        <w:rPr>
          <w:rFonts w:ascii="Times New Roman" w:eastAsia="Times New Roman" w:hAnsi="Times New Roman" w:cs="Times New Roman"/>
          <w:kern w:val="0"/>
          <w:sz w:val="24"/>
          <w:szCs w:val="24"/>
          <w:lang w:eastAsia="de-DE"/>
          <w14:ligatures w14:val="none"/>
        </w:rPr>
        <w:t>) Handlungsbedarf beim Bilanzkreismanagement und beschloss, einige Regeln zu verschärfen. </w:t>
      </w:r>
      <w:r w:rsidRPr="00757E28">
        <w:rPr>
          <w:rFonts w:ascii="Times New Roman" w:eastAsia="Times New Roman" w:hAnsi="Times New Roman" w:cs="Times New Roman"/>
          <w:kern w:val="0"/>
          <w:sz w:val="24"/>
          <w:szCs w:val="24"/>
          <w:lang w:eastAsia="de-DE"/>
          <w14:ligatures w14:val="none"/>
        </w:rPr>
        <w:br/>
      </w:r>
      <w:r w:rsidRPr="00757E28">
        <w:rPr>
          <w:rFonts w:ascii="Times New Roman" w:eastAsia="Times New Roman" w:hAnsi="Times New Roman" w:cs="Times New Roman"/>
          <w:kern w:val="0"/>
          <w:sz w:val="24"/>
          <w:szCs w:val="24"/>
          <w:lang w:eastAsia="de-DE"/>
          <w14:ligatures w14:val="none"/>
        </w:rPr>
        <w:br/>
        <w:t xml:space="preserve">Mit Wirkung zum 15. Januar 2020 müssen daher die Bilanzkreisverantwortlichen </w:t>
      </w:r>
      <w:r w:rsidRPr="00757E28">
        <w:rPr>
          <w:rFonts w:ascii="Times New Roman" w:eastAsia="Times New Roman" w:hAnsi="Times New Roman" w:cs="Times New Roman"/>
          <w:b/>
          <w:bCs/>
          <w:kern w:val="0"/>
          <w:sz w:val="24"/>
          <w:szCs w:val="24"/>
          <w:lang w:eastAsia="de-DE"/>
          <w14:ligatures w14:val="none"/>
        </w:rPr>
        <w:t>spätestens 15 Minuten vor Erfüllungsbeginn</w:t>
      </w:r>
      <w:r w:rsidRPr="00757E28">
        <w:rPr>
          <w:rFonts w:ascii="Times New Roman" w:eastAsia="Times New Roman" w:hAnsi="Times New Roman" w:cs="Times New Roman"/>
          <w:kern w:val="0"/>
          <w:sz w:val="24"/>
          <w:szCs w:val="24"/>
          <w:lang w:eastAsia="de-DE"/>
          <w14:ligatures w14:val="none"/>
        </w:rPr>
        <w:t xml:space="preserve"> Ungleichgewichte in ihrer Bilanz durch eine entsprechende Fahrplanmeldung ausgleichen – absichtliche Ungleichgewichte in Bilanzkreisen aus handelstaktischen Gründen sollen unmöglich werden. Auch wird es bei der Berechnung des regelzonenübergreifenden </w:t>
      </w:r>
      <w:hyperlink r:id="rId15" w:tooltip="Erfahren Sie mehr über die Ausgleichsenergiepreise" w:history="1">
        <w:r w:rsidRPr="00757E28">
          <w:rPr>
            <w:rFonts w:ascii="Times New Roman" w:eastAsia="Times New Roman" w:hAnsi="Times New Roman" w:cs="Times New Roman"/>
            <w:color w:val="0000FF"/>
            <w:kern w:val="0"/>
            <w:sz w:val="24"/>
            <w:szCs w:val="24"/>
            <w:u w:val="single"/>
            <w:lang w:eastAsia="de-DE"/>
            <w14:ligatures w14:val="none"/>
          </w:rPr>
          <w:t>Ausgleichsenergiepreises</w:t>
        </w:r>
      </w:hyperlink>
      <w:r w:rsidRPr="00757E28">
        <w:rPr>
          <w:rFonts w:ascii="Times New Roman" w:eastAsia="Times New Roman" w:hAnsi="Times New Roman" w:cs="Times New Roman"/>
          <w:kern w:val="0"/>
          <w:sz w:val="24"/>
          <w:szCs w:val="24"/>
          <w:lang w:eastAsia="de-DE"/>
          <w14:ligatures w14:val="none"/>
        </w:rPr>
        <w:t xml:space="preserve"> (</w:t>
      </w:r>
      <w:proofErr w:type="spellStart"/>
      <w:r w:rsidRPr="00757E28">
        <w:rPr>
          <w:rFonts w:ascii="Times New Roman" w:eastAsia="Times New Roman" w:hAnsi="Times New Roman" w:cs="Times New Roman"/>
          <w:b/>
          <w:bCs/>
          <w:kern w:val="0"/>
          <w:sz w:val="24"/>
          <w:szCs w:val="24"/>
          <w:lang w:eastAsia="de-DE"/>
          <w14:ligatures w14:val="none"/>
        </w:rPr>
        <w:t>reBAP</w:t>
      </w:r>
      <w:proofErr w:type="spellEnd"/>
      <w:r w:rsidRPr="00757E28">
        <w:rPr>
          <w:rFonts w:ascii="Times New Roman" w:eastAsia="Times New Roman" w:hAnsi="Times New Roman" w:cs="Times New Roman"/>
          <w:kern w:val="0"/>
          <w:sz w:val="24"/>
          <w:szCs w:val="24"/>
          <w:lang w:eastAsia="de-DE"/>
          <w14:ligatures w14:val="none"/>
        </w:rPr>
        <w:t xml:space="preserve">) Änderungen geben: So kommt es bei der Ermittlung des </w:t>
      </w:r>
      <w:proofErr w:type="spellStart"/>
      <w:r w:rsidRPr="00757E28">
        <w:rPr>
          <w:rFonts w:ascii="Times New Roman" w:eastAsia="Times New Roman" w:hAnsi="Times New Roman" w:cs="Times New Roman"/>
          <w:kern w:val="0"/>
          <w:sz w:val="24"/>
          <w:szCs w:val="24"/>
          <w:lang w:eastAsia="de-DE"/>
          <w14:ligatures w14:val="none"/>
        </w:rPr>
        <w:t>reBAPs</w:t>
      </w:r>
      <w:proofErr w:type="spellEnd"/>
      <w:r w:rsidRPr="00757E28">
        <w:rPr>
          <w:rFonts w:ascii="Times New Roman" w:eastAsia="Times New Roman" w:hAnsi="Times New Roman" w:cs="Times New Roman"/>
          <w:kern w:val="0"/>
          <w:sz w:val="24"/>
          <w:szCs w:val="24"/>
          <w:lang w:eastAsia="de-DE"/>
          <w14:ligatures w14:val="none"/>
        </w:rPr>
        <w:t xml:space="preserve"> nicht mehr auf die Höhe des Regelenergieabrufs an, sondern auf den </w:t>
      </w:r>
      <w:r w:rsidRPr="00757E28">
        <w:rPr>
          <w:rFonts w:ascii="Times New Roman" w:eastAsia="Times New Roman" w:hAnsi="Times New Roman" w:cs="Times New Roman"/>
          <w:b/>
          <w:bCs/>
          <w:kern w:val="0"/>
          <w:sz w:val="24"/>
          <w:szCs w:val="24"/>
          <w:lang w:eastAsia="de-DE"/>
          <w14:ligatures w14:val="none"/>
        </w:rPr>
        <w:t>ermittelten Saldo des Netzregelzonenverbundes</w:t>
      </w:r>
      <w:r w:rsidRPr="00757E28">
        <w:rPr>
          <w:rFonts w:ascii="Times New Roman" w:eastAsia="Times New Roman" w:hAnsi="Times New Roman" w:cs="Times New Roman"/>
          <w:kern w:val="0"/>
          <w:sz w:val="24"/>
          <w:szCs w:val="24"/>
          <w:lang w:eastAsia="de-DE"/>
          <w14:ligatures w14:val="none"/>
        </w:rPr>
        <w:t>. Wenn dieser einen Wert von mehr als 80 Prozent der kontrahierten Regelleistung aufweist, wird ein Zuschlag von 50 Prozent oder mindestens 100 Euro pro MWh fällig. Die BNetzA begründet diesen Schritt mit einer sehr häufigen Überschreitung dieser 80-Prozent-Schwelle in Verbindung mit dem späterem Nichtabruf der bereitgestellten Regelenergiemenge, was zu Ungleichgewichten im Regelenergiemarkt und in deren Folge zu Schwankungen im Stromnetz führt.</w:t>
      </w:r>
    </w:p>
    <w:p w14:paraId="56EBBE4F" w14:textId="77777777" w:rsidR="00757E28" w:rsidRPr="00757E28" w:rsidRDefault="00757E28" w:rsidP="00757E28">
      <w:pPr>
        <w:spacing w:before="100" w:beforeAutospacing="1" w:after="100" w:afterAutospacing="1" w:line="240" w:lineRule="auto"/>
        <w:outlineLvl w:val="1"/>
        <w:rPr>
          <w:rFonts w:ascii="Times New Roman" w:eastAsia="Times New Roman" w:hAnsi="Times New Roman" w:cs="Times New Roman"/>
          <w:b/>
          <w:bCs/>
          <w:kern w:val="0"/>
          <w:sz w:val="32"/>
          <w:szCs w:val="32"/>
          <w:u w:val="single"/>
          <w:lang w:eastAsia="de-DE"/>
          <w14:ligatures w14:val="none"/>
        </w:rPr>
      </w:pPr>
      <w:r w:rsidRPr="00757E28">
        <w:rPr>
          <w:rFonts w:ascii="Times New Roman" w:eastAsia="Times New Roman" w:hAnsi="Times New Roman" w:cs="Times New Roman"/>
          <w:b/>
          <w:bCs/>
          <w:kern w:val="0"/>
          <w:sz w:val="32"/>
          <w:szCs w:val="32"/>
          <w:u w:val="single"/>
          <w:lang w:eastAsia="de-DE"/>
          <w14:ligatures w14:val="none"/>
        </w:rPr>
        <w:t>Gas</w:t>
      </w:r>
    </w:p>
    <w:p w14:paraId="2CF0D20A" w14:textId="77777777" w:rsidR="00757E28" w:rsidRPr="00757E28" w:rsidRDefault="00757E28" w:rsidP="00757E2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57E28">
        <w:rPr>
          <w:rFonts w:ascii="Times New Roman" w:eastAsia="Times New Roman" w:hAnsi="Times New Roman" w:cs="Times New Roman"/>
          <w:kern w:val="0"/>
          <w:sz w:val="24"/>
          <w:szCs w:val="24"/>
          <w:lang w:eastAsia="de-DE"/>
          <w14:ligatures w14:val="none"/>
        </w:rPr>
        <w:t xml:space="preserve">Auf Anraten der Bundesnetzagentur (BNetzA) wurden in den letzten zehn Jahren die </w:t>
      </w:r>
      <w:r w:rsidRPr="00757E28">
        <w:rPr>
          <w:rFonts w:ascii="Times New Roman" w:eastAsia="Times New Roman" w:hAnsi="Times New Roman" w:cs="Times New Roman"/>
          <w:b/>
          <w:bCs/>
          <w:kern w:val="0"/>
          <w:sz w:val="24"/>
          <w:szCs w:val="24"/>
          <w:lang w:eastAsia="de-DE"/>
          <w14:ligatures w14:val="none"/>
        </w:rPr>
        <w:t>Marktgebiete für Erdgas in Deutschland großflächig zusammengelegt</w:t>
      </w:r>
      <w:r w:rsidRPr="00757E28">
        <w:rPr>
          <w:rFonts w:ascii="Times New Roman" w:eastAsia="Times New Roman" w:hAnsi="Times New Roman" w:cs="Times New Roman"/>
          <w:kern w:val="0"/>
          <w:sz w:val="24"/>
          <w:szCs w:val="24"/>
          <w:lang w:eastAsia="de-DE"/>
          <w14:ligatures w14:val="none"/>
        </w:rPr>
        <w:t xml:space="preserve">. Dies geschah sowohl im Interesse der Vereinfachung des Transportabwicklungsprozesses sowie der Preistransparenz und der Liquidität des Gasmarktes. Seit 2011 sind lediglich </w:t>
      </w:r>
      <w:r w:rsidRPr="00757E28">
        <w:rPr>
          <w:rFonts w:ascii="Times New Roman" w:eastAsia="Times New Roman" w:hAnsi="Times New Roman" w:cs="Times New Roman"/>
          <w:b/>
          <w:bCs/>
          <w:kern w:val="0"/>
          <w:sz w:val="24"/>
          <w:szCs w:val="24"/>
          <w:lang w:eastAsia="de-DE"/>
          <w14:ligatures w14:val="none"/>
        </w:rPr>
        <w:t>zwei qualitätsübergreifende Marktgebiete</w:t>
      </w:r>
      <w:r w:rsidRPr="00757E28">
        <w:rPr>
          <w:rFonts w:ascii="Times New Roman" w:eastAsia="Times New Roman" w:hAnsi="Times New Roman" w:cs="Times New Roman"/>
          <w:kern w:val="0"/>
          <w:sz w:val="24"/>
          <w:szCs w:val="24"/>
          <w:lang w:eastAsia="de-DE"/>
          <w14:ligatures w14:val="none"/>
        </w:rPr>
        <w:t xml:space="preserve"> in Deutschland verblieben, welche die Marktgebietsverantwortlichen (</w:t>
      </w:r>
      <w:r w:rsidRPr="00757E28">
        <w:rPr>
          <w:rFonts w:ascii="Times New Roman" w:eastAsia="Times New Roman" w:hAnsi="Times New Roman" w:cs="Times New Roman"/>
          <w:b/>
          <w:bCs/>
          <w:kern w:val="0"/>
          <w:sz w:val="24"/>
          <w:szCs w:val="24"/>
          <w:lang w:eastAsia="de-DE"/>
          <w14:ligatures w14:val="none"/>
        </w:rPr>
        <w:t>MGV</w:t>
      </w:r>
      <w:r w:rsidRPr="00757E28">
        <w:rPr>
          <w:rFonts w:ascii="Times New Roman" w:eastAsia="Times New Roman" w:hAnsi="Times New Roman" w:cs="Times New Roman"/>
          <w:kern w:val="0"/>
          <w:sz w:val="24"/>
          <w:szCs w:val="24"/>
          <w:lang w:eastAsia="de-DE"/>
          <w14:ligatures w14:val="none"/>
        </w:rPr>
        <w:t xml:space="preserve">) </w:t>
      </w:r>
      <w:proofErr w:type="spellStart"/>
      <w:r w:rsidRPr="00757E28">
        <w:rPr>
          <w:rFonts w:ascii="Times New Roman" w:eastAsia="Times New Roman" w:hAnsi="Times New Roman" w:cs="Times New Roman"/>
          <w:kern w:val="0"/>
          <w:sz w:val="24"/>
          <w:szCs w:val="24"/>
          <w:lang w:eastAsia="de-DE"/>
          <w14:ligatures w14:val="none"/>
        </w:rPr>
        <w:t>Gaspool</w:t>
      </w:r>
      <w:proofErr w:type="spellEnd"/>
      <w:r w:rsidRPr="00757E28">
        <w:rPr>
          <w:rFonts w:ascii="Times New Roman" w:eastAsia="Times New Roman" w:hAnsi="Times New Roman" w:cs="Times New Roman"/>
          <w:kern w:val="0"/>
          <w:sz w:val="24"/>
          <w:szCs w:val="24"/>
          <w:lang w:eastAsia="de-DE"/>
          <w14:ligatures w14:val="none"/>
        </w:rPr>
        <w:t xml:space="preserve"> und </w:t>
      </w:r>
      <w:proofErr w:type="spellStart"/>
      <w:r w:rsidRPr="00757E28">
        <w:rPr>
          <w:rFonts w:ascii="Times New Roman" w:eastAsia="Times New Roman" w:hAnsi="Times New Roman" w:cs="Times New Roman"/>
          <w:kern w:val="0"/>
          <w:sz w:val="24"/>
          <w:szCs w:val="24"/>
          <w:lang w:eastAsia="de-DE"/>
          <w14:ligatures w14:val="none"/>
        </w:rPr>
        <w:t>NetConnect</w:t>
      </w:r>
      <w:proofErr w:type="spellEnd"/>
      <w:r w:rsidRPr="00757E28">
        <w:rPr>
          <w:rFonts w:ascii="Times New Roman" w:eastAsia="Times New Roman" w:hAnsi="Times New Roman" w:cs="Times New Roman"/>
          <w:kern w:val="0"/>
          <w:sz w:val="24"/>
          <w:szCs w:val="24"/>
          <w:lang w:eastAsia="de-DE"/>
          <w14:ligatures w14:val="none"/>
        </w:rPr>
        <w:t xml:space="preserve"> verwalten. Die Energiewirtschaft unterscheidet qualitativ zwischen einem high-</w:t>
      </w:r>
      <w:proofErr w:type="spellStart"/>
      <w:r w:rsidRPr="00757E28">
        <w:rPr>
          <w:rFonts w:ascii="Times New Roman" w:eastAsia="Times New Roman" w:hAnsi="Times New Roman" w:cs="Times New Roman"/>
          <w:kern w:val="0"/>
          <w:sz w:val="24"/>
          <w:szCs w:val="24"/>
          <w:lang w:eastAsia="de-DE"/>
          <w14:ligatures w14:val="none"/>
        </w:rPr>
        <w:t>calorific</w:t>
      </w:r>
      <w:proofErr w:type="spellEnd"/>
      <w:r w:rsidRPr="00757E28">
        <w:rPr>
          <w:rFonts w:ascii="Times New Roman" w:eastAsia="Times New Roman" w:hAnsi="Times New Roman" w:cs="Times New Roman"/>
          <w:kern w:val="0"/>
          <w:sz w:val="24"/>
          <w:szCs w:val="24"/>
          <w:lang w:eastAsia="de-DE"/>
          <w14:ligatures w14:val="none"/>
        </w:rPr>
        <w:t>-gas (</w:t>
      </w:r>
      <w:r w:rsidRPr="00757E28">
        <w:rPr>
          <w:rFonts w:ascii="Times New Roman" w:eastAsia="Times New Roman" w:hAnsi="Times New Roman" w:cs="Times New Roman"/>
          <w:b/>
          <w:bCs/>
          <w:kern w:val="0"/>
          <w:sz w:val="24"/>
          <w:szCs w:val="24"/>
          <w:lang w:eastAsia="de-DE"/>
          <w14:ligatures w14:val="none"/>
        </w:rPr>
        <w:t>H-Gas</w:t>
      </w:r>
      <w:r w:rsidRPr="00757E28">
        <w:rPr>
          <w:rFonts w:ascii="Times New Roman" w:eastAsia="Times New Roman" w:hAnsi="Times New Roman" w:cs="Times New Roman"/>
          <w:kern w:val="0"/>
          <w:sz w:val="24"/>
          <w:szCs w:val="24"/>
          <w:lang w:eastAsia="de-DE"/>
          <w14:ligatures w14:val="none"/>
        </w:rPr>
        <w:t xml:space="preserve">) und </w:t>
      </w:r>
      <w:r w:rsidRPr="00757E28">
        <w:rPr>
          <w:rFonts w:ascii="Times New Roman" w:eastAsia="Times New Roman" w:hAnsi="Times New Roman" w:cs="Times New Roman"/>
          <w:kern w:val="0"/>
          <w:sz w:val="24"/>
          <w:szCs w:val="24"/>
          <w:lang w:eastAsia="de-DE"/>
          <w14:ligatures w14:val="none"/>
        </w:rPr>
        <w:lastRenderedPageBreak/>
        <w:t xml:space="preserve">einem </w:t>
      </w:r>
      <w:proofErr w:type="spellStart"/>
      <w:r w:rsidRPr="00757E28">
        <w:rPr>
          <w:rFonts w:ascii="Times New Roman" w:eastAsia="Times New Roman" w:hAnsi="Times New Roman" w:cs="Times New Roman"/>
          <w:kern w:val="0"/>
          <w:sz w:val="24"/>
          <w:szCs w:val="24"/>
          <w:lang w:eastAsia="de-DE"/>
          <w14:ligatures w14:val="none"/>
        </w:rPr>
        <w:t>low</w:t>
      </w:r>
      <w:proofErr w:type="spellEnd"/>
      <w:r w:rsidRPr="00757E28">
        <w:rPr>
          <w:rFonts w:ascii="Times New Roman" w:eastAsia="Times New Roman" w:hAnsi="Times New Roman" w:cs="Times New Roman"/>
          <w:kern w:val="0"/>
          <w:sz w:val="24"/>
          <w:szCs w:val="24"/>
          <w:lang w:eastAsia="de-DE"/>
          <w14:ligatures w14:val="none"/>
        </w:rPr>
        <w:t>-</w:t>
      </w:r>
      <w:proofErr w:type="spellStart"/>
      <w:r w:rsidRPr="00757E28">
        <w:rPr>
          <w:rFonts w:ascii="Times New Roman" w:eastAsia="Times New Roman" w:hAnsi="Times New Roman" w:cs="Times New Roman"/>
          <w:kern w:val="0"/>
          <w:sz w:val="24"/>
          <w:szCs w:val="24"/>
          <w:lang w:eastAsia="de-DE"/>
          <w14:ligatures w14:val="none"/>
        </w:rPr>
        <w:t>calorific</w:t>
      </w:r>
      <w:proofErr w:type="spellEnd"/>
      <w:r w:rsidRPr="00757E28">
        <w:rPr>
          <w:rFonts w:ascii="Times New Roman" w:eastAsia="Times New Roman" w:hAnsi="Times New Roman" w:cs="Times New Roman"/>
          <w:kern w:val="0"/>
          <w:sz w:val="24"/>
          <w:szCs w:val="24"/>
          <w:lang w:eastAsia="de-DE"/>
          <w14:ligatures w14:val="none"/>
        </w:rPr>
        <w:t>-gas (</w:t>
      </w:r>
      <w:r w:rsidRPr="00757E28">
        <w:rPr>
          <w:rFonts w:ascii="Times New Roman" w:eastAsia="Times New Roman" w:hAnsi="Times New Roman" w:cs="Times New Roman"/>
          <w:b/>
          <w:bCs/>
          <w:kern w:val="0"/>
          <w:sz w:val="24"/>
          <w:szCs w:val="24"/>
          <w:lang w:eastAsia="de-DE"/>
          <w14:ligatures w14:val="none"/>
        </w:rPr>
        <w:t>L-Gas</w:t>
      </w:r>
      <w:r w:rsidRPr="00757E28">
        <w:rPr>
          <w:rFonts w:ascii="Times New Roman" w:eastAsia="Times New Roman" w:hAnsi="Times New Roman" w:cs="Times New Roman"/>
          <w:kern w:val="0"/>
          <w:sz w:val="24"/>
          <w:szCs w:val="24"/>
          <w:lang w:eastAsia="de-DE"/>
          <w14:ligatures w14:val="none"/>
        </w:rPr>
        <w:t>), welche beide in den jeweiligen Marktgebieten zur Verfügung stehen. Deutschland importiert H-Gas vornehmlich über Pipelines aus den GUS-Staaten und L-Gas meistens aus den Niederlanden.</w:t>
      </w:r>
    </w:p>
    <w:p w14:paraId="2DB68E58" w14:textId="77777777" w:rsidR="00757E28" w:rsidRPr="00757E28" w:rsidRDefault="00757E28" w:rsidP="00757E28">
      <w:pPr>
        <w:spacing w:before="100" w:beforeAutospacing="1" w:after="100" w:afterAutospacing="1" w:line="240" w:lineRule="auto"/>
        <w:outlineLvl w:val="2"/>
        <w:rPr>
          <w:rFonts w:ascii="Times New Roman" w:eastAsia="Times New Roman" w:hAnsi="Times New Roman" w:cs="Times New Roman"/>
          <w:b/>
          <w:bCs/>
          <w:kern w:val="0"/>
          <w:sz w:val="28"/>
          <w:szCs w:val="28"/>
          <w:lang w:eastAsia="de-DE"/>
          <w14:ligatures w14:val="none"/>
        </w:rPr>
      </w:pPr>
      <w:r w:rsidRPr="00757E28">
        <w:rPr>
          <w:rFonts w:ascii="Times New Roman" w:eastAsia="Times New Roman" w:hAnsi="Times New Roman" w:cs="Times New Roman"/>
          <w:b/>
          <w:bCs/>
          <w:kern w:val="0"/>
          <w:sz w:val="28"/>
          <w:szCs w:val="28"/>
          <w:lang w:eastAsia="de-DE"/>
          <w14:ligatures w14:val="none"/>
        </w:rPr>
        <w:t>Virtueller Handelspunkt für Gas</w:t>
      </w:r>
    </w:p>
    <w:p w14:paraId="4F7F8F19" w14:textId="77777777" w:rsidR="00757E28" w:rsidRPr="00757E28" w:rsidRDefault="00757E28" w:rsidP="00757E2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57E28">
        <w:rPr>
          <w:rFonts w:ascii="Times New Roman" w:eastAsia="Times New Roman" w:hAnsi="Times New Roman" w:cs="Times New Roman"/>
          <w:kern w:val="0"/>
          <w:sz w:val="24"/>
          <w:szCs w:val="24"/>
          <w:lang w:eastAsia="de-DE"/>
          <w14:ligatures w14:val="none"/>
        </w:rPr>
        <w:t>Der virtuelle Handelspunkt (</w:t>
      </w:r>
      <w:r w:rsidRPr="00757E28">
        <w:rPr>
          <w:rFonts w:ascii="Times New Roman" w:eastAsia="Times New Roman" w:hAnsi="Times New Roman" w:cs="Times New Roman"/>
          <w:b/>
          <w:bCs/>
          <w:kern w:val="0"/>
          <w:sz w:val="24"/>
          <w:szCs w:val="24"/>
          <w:lang w:eastAsia="de-DE"/>
          <w14:ligatures w14:val="none"/>
        </w:rPr>
        <w:t>VHP</w:t>
      </w:r>
      <w:r w:rsidRPr="00757E28">
        <w:rPr>
          <w:rFonts w:ascii="Times New Roman" w:eastAsia="Times New Roman" w:hAnsi="Times New Roman" w:cs="Times New Roman"/>
          <w:kern w:val="0"/>
          <w:sz w:val="24"/>
          <w:szCs w:val="24"/>
          <w:lang w:eastAsia="de-DE"/>
          <w14:ligatures w14:val="none"/>
        </w:rPr>
        <w:t xml:space="preserve">) befindet sich innerhalb der Marktgebiete und bezeichnet keinen physischen Ein- oder Ausspeisepunkt, sondern einen </w:t>
      </w:r>
      <w:r w:rsidRPr="00757E28">
        <w:rPr>
          <w:rFonts w:ascii="Times New Roman" w:eastAsia="Times New Roman" w:hAnsi="Times New Roman" w:cs="Times New Roman"/>
          <w:b/>
          <w:bCs/>
          <w:kern w:val="0"/>
          <w:sz w:val="24"/>
          <w:szCs w:val="24"/>
          <w:lang w:eastAsia="de-DE"/>
          <w14:ligatures w14:val="none"/>
        </w:rPr>
        <w:t>idealen Lieferpunkt</w:t>
      </w:r>
      <w:r w:rsidRPr="00757E28">
        <w:rPr>
          <w:rFonts w:ascii="Times New Roman" w:eastAsia="Times New Roman" w:hAnsi="Times New Roman" w:cs="Times New Roman"/>
          <w:kern w:val="0"/>
          <w:sz w:val="24"/>
          <w:szCs w:val="24"/>
          <w:lang w:eastAsia="de-DE"/>
          <w14:ligatures w14:val="none"/>
        </w:rPr>
        <w:t xml:space="preserve">. Über den VHP können Händler Gas auch ohne Kapazitätsbuchungen kaufen und verkaufen. Die </w:t>
      </w:r>
      <w:proofErr w:type="spellStart"/>
      <w:r w:rsidRPr="00757E28">
        <w:rPr>
          <w:rFonts w:ascii="Times New Roman" w:eastAsia="Times New Roman" w:hAnsi="Times New Roman" w:cs="Times New Roman"/>
          <w:kern w:val="0"/>
          <w:sz w:val="24"/>
          <w:szCs w:val="24"/>
          <w:lang w:eastAsia="de-DE"/>
          <w14:ligatures w14:val="none"/>
        </w:rPr>
        <w:t>Marktgebietverantwortlichen</w:t>
      </w:r>
      <w:proofErr w:type="spellEnd"/>
      <w:r w:rsidRPr="00757E28">
        <w:rPr>
          <w:rFonts w:ascii="Times New Roman" w:eastAsia="Times New Roman" w:hAnsi="Times New Roman" w:cs="Times New Roman"/>
          <w:kern w:val="0"/>
          <w:sz w:val="24"/>
          <w:szCs w:val="24"/>
          <w:lang w:eastAsia="de-DE"/>
          <w14:ligatures w14:val="none"/>
        </w:rPr>
        <w:t xml:space="preserve"> </w:t>
      </w:r>
      <w:proofErr w:type="spellStart"/>
      <w:r w:rsidRPr="00757E28">
        <w:rPr>
          <w:rFonts w:ascii="Times New Roman" w:eastAsia="Times New Roman" w:hAnsi="Times New Roman" w:cs="Times New Roman"/>
          <w:kern w:val="0"/>
          <w:sz w:val="24"/>
          <w:szCs w:val="24"/>
          <w:lang w:eastAsia="de-DE"/>
          <w14:ligatures w14:val="none"/>
        </w:rPr>
        <w:t>Gaspool</w:t>
      </w:r>
      <w:proofErr w:type="spellEnd"/>
      <w:r w:rsidRPr="00757E28">
        <w:rPr>
          <w:rFonts w:ascii="Times New Roman" w:eastAsia="Times New Roman" w:hAnsi="Times New Roman" w:cs="Times New Roman"/>
          <w:kern w:val="0"/>
          <w:sz w:val="24"/>
          <w:szCs w:val="24"/>
          <w:lang w:eastAsia="de-DE"/>
          <w14:ligatures w14:val="none"/>
        </w:rPr>
        <w:t xml:space="preserve"> und </w:t>
      </w:r>
      <w:proofErr w:type="spellStart"/>
      <w:r w:rsidRPr="00757E28">
        <w:rPr>
          <w:rFonts w:ascii="Times New Roman" w:eastAsia="Times New Roman" w:hAnsi="Times New Roman" w:cs="Times New Roman"/>
          <w:kern w:val="0"/>
          <w:sz w:val="24"/>
          <w:szCs w:val="24"/>
          <w:lang w:eastAsia="de-DE"/>
          <w14:ligatures w14:val="none"/>
        </w:rPr>
        <w:t>NetConnect</w:t>
      </w:r>
      <w:proofErr w:type="spellEnd"/>
      <w:r w:rsidRPr="00757E28">
        <w:rPr>
          <w:rFonts w:ascii="Times New Roman" w:eastAsia="Times New Roman" w:hAnsi="Times New Roman" w:cs="Times New Roman"/>
          <w:kern w:val="0"/>
          <w:sz w:val="24"/>
          <w:szCs w:val="24"/>
          <w:lang w:eastAsia="de-DE"/>
          <w14:ligatures w14:val="none"/>
        </w:rPr>
        <w:t xml:space="preserve"> sind für den VHP direkt verantwortlich, zudem unterstehen ihnen zahlreiche Bilanzkreise.</w:t>
      </w:r>
      <w:r w:rsidRPr="00757E28">
        <w:rPr>
          <w:rFonts w:ascii="Times New Roman" w:eastAsia="Times New Roman" w:hAnsi="Times New Roman" w:cs="Times New Roman"/>
          <w:kern w:val="0"/>
          <w:sz w:val="24"/>
          <w:szCs w:val="24"/>
          <w:lang w:eastAsia="de-DE"/>
          <w14:ligatures w14:val="none"/>
        </w:rPr>
        <w:br/>
      </w:r>
      <w:r w:rsidRPr="00757E28">
        <w:rPr>
          <w:rFonts w:ascii="Times New Roman" w:eastAsia="Times New Roman" w:hAnsi="Times New Roman" w:cs="Times New Roman"/>
          <w:kern w:val="0"/>
          <w:sz w:val="24"/>
          <w:szCs w:val="24"/>
          <w:lang w:eastAsia="de-DE"/>
          <w14:ligatures w14:val="none"/>
        </w:rPr>
        <w:br/>
        <w:t xml:space="preserve">Die Bilanzkreisverantwortlichen streben – wie auf dem Strommarkt – einen ausgeglichenen Saldo an. Sie prognostizieren und </w:t>
      </w:r>
      <w:r w:rsidRPr="00757E28">
        <w:rPr>
          <w:rFonts w:ascii="Times New Roman" w:eastAsia="Times New Roman" w:hAnsi="Times New Roman" w:cs="Times New Roman"/>
          <w:b/>
          <w:bCs/>
          <w:kern w:val="0"/>
          <w:sz w:val="24"/>
          <w:szCs w:val="24"/>
          <w:lang w:eastAsia="de-DE"/>
          <w14:ligatures w14:val="none"/>
        </w:rPr>
        <w:t>nominieren</w:t>
      </w:r>
      <w:r w:rsidRPr="00757E28">
        <w:rPr>
          <w:rFonts w:ascii="Times New Roman" w:eastAsia="Times New Roman" w:hAnsi="Times New Roman" w:cs="Times New Roman"/>
          <w:kern w:val="0"/>
          <w:sz w:val="24"/>
          <w:szCs w:val="24"/>
          <w:lang w:eastAsia="de-DE"/>
          <w14:ligatures w14:val="none"/>
        </w:rPr>
        <w:t xml:space="preserve"> (d.h. bestellen) die zu erwartenden Gasmengen bei den </w:t>
      </w:r>
      <w:r w:rsidRPr="00757E28">
        <w:rPr>
          <w:rFonts w:ascii="Times New Roman" w:eastAsia="Times New Roman" w:hAnsi="Times New Roman" w:cs="Times New Roman"/>
          <w:b/>
          <w:bCs/>
          <w:kern w:val="0"/>
          <w:sz w:val="24"/>
          <w:szCs w:val="24"/>
          <w:lang w:eastAsia="de-DE"/>
          <w14:ligatures w14:val="none"/>
        </w:rPr>
        <w:t>Einspeisenetzbetreibern</w:t>
      </w:r>
      <w:r w:rsidRPr="00757E28">
        <w:rPr>
          <w:rFonts w:ascii="Times New Roman" w:eastAsia="Times New Roman" w:hAnsi="Times New Roman" w:cs="Times New Roman"/>
          <w:kern w:val="0"/>
          <w:sz w:val="24"/>
          <w:szCs w:val="24"/>
          <w:lang w:eastAsia="de-DE"/>
          <w14:ligatures w14:val="none"/>
        </w:rPr>
        <w:t xml:space="preserve"> (</w:t>
      </w:r>
      <w:r w:rsidRPr="00757E28">
        <w:rPr>
          <w:rFonts w:ascii="Times New Roman" w:eastAsia="Times New Roman" w:hAnsi="Times New Roman" w:cs="Times New Roman"/>
          <w:b/>
          <w:bCs/>
          <w:kern w:val="0"/>
          <w:sz w:val="24"/>
          <w:szCs w:val="24"/>
          <w:lang w:eastAsia="de-DE"/>
          <w14:ligatures w14:val="none"/>
        </w:rPr>
        <w:t>ENB</w:t>
      </w:r>
      <w:r w:rsidRPr="00757E28">
        <w:rPr>
          <w:rFonts w:ascii="Times New Roman" w:eastAsia="Times New Roman" w:hAnsi="Times New Roman" w:cs="Times New Roman"/>
          <w:kern w:val="0"/>
          <w:sz w:val="24"/>
          <w:szCs w:val="24"/>
          <w:lang w:eastAsia="de-DE"/>
          <w14:ligatures w14:val="none"/>
        </w:rPr>
        <w:t xml:space="preserve">), zu denen Gaslieferanten und Gasimporteure zählen. Je nach Bilanzkreis handeln und erfassen anschließend </w:t>
      </w:r>
      <w:proofErr w:type="spellStart"/>
      <w:r w:rsidRPr="00757E28">
        <w:rPr>
          <w:rFonts w:ascii="Times New Roman" w:eastAsia="Times New Roman" w:hAnsi="Times New Roman" w:cs="Times New Roman"/>
          <w:kern w:val="0"/>
          <w:sz w:val="24"/>
          <w:szCs w:val="24"/>
          <w:lang w:eastAsia="de-DE"/>
          <w14:ligatures w14:val="none"/>
        </w:rPr>
        <w:t>Gaspool</w:t>
      </w:r>
      <w:proofErr w:type="spellEnd"/>
      <w:r w:rsidRPr="00757E28">
        <w:rPr>
          <w:rFonts w:ascii="Times New Roman" w:eastAsia="Times New Roman" w:hAnsi="Times New Roman" w:cs="Times New Roman"/>
          <w:kern w:val="0"/>
          <w:sz w:val="24"/>
          <w:szCs w:val="24"/>
          <w:lang w:eastAsia="de-DE"/>
          <w14:ligatures w14:val="none"/>
        </w:rPr>
        <w:t xml:space="preserve"> oder </w:t>
      </w:r>
      <w:proofErr w:type="spellStart"/>
      <w:r w:rsidRPr="00757E28">
        <w:rPr>
          <w:rFonts w:ascii="Times New Roman" w:eastAsia="Times New Roman" w:hAnsi="Times New Roman" w:cs="Times New Roman"/>
          <w:kern w:val="0"/>
          <w:sz w:val="24"/>
          <w:szCs w:val="24"/>
          <w:lang w:eastAsia="de-DE"/>
          <w14:ligatures w14:val="none"/>
        </w:rPr>
        <w:t>NetConnect</w:t>
      </w:r>
      <w:proofErr w:type="spellEnd"/>
      <w:r w:rsidRPr="00757E28">
        <w:rPr>
          <w:rFonts w:ascii="Times New Roman" w:eastAsia="Times New Roman" w:hAnsi="Times New Roman" w:cs="Times New Roman"/>
          <w:kern w:val="0"/>
          <w:sz w:val="24"/>
          <w:szCs w:val="24"/>
          <w:lang w:eastAsia="de-DE"/>
          <w14:ligatures w14:val="none"/>
        </w:rPr>
        <w:t xml:space="preserve"> die Nominierungen.</w:t>
      </w:r>
      <w:r w:rsidRPr="00757E28">
        <w:rPr>
          <w:rFonts w:ascii="Times New Roman" w:eastAsia="Times New Roman" w:hAnsi="Times New Roman" w:cs="Times New Roman"/>
          <w:kern w:val="0"/>
          <w:sz w:val="24"/>
          <w:szCs w:val="24"/>
          <w:lang w:eastAsia="de-DE"/>
          <w14:ligatures w14:val="none"/>
        </w:rPr>
        <w:br/>
      </w:r>
      <w:r w:rsidRPr="00757E28">
        <w:rPr>
          <w:rFonts w:ascii="Times New Roman" w:eastAsia="Times New Roman" w:hAnsi="Times New Roman" w:cs="Times New Roman"/>
          <w:kern w:val="0"/>
          <w:sz w:val="24"/>
          <w:szCs w:val="24"/>
          <w:lang w:eastAsia="de-DE"/>
          <w14:ligatures w14:val="none"/>
        </w:rPr>
        <w:br/>
      </w:r>
      <w:r w:rsidRPr="00757E28">
        <w:rPr>
          <w:rFonts w:ascii="Times New Roman" w:eastAsia="Times New Roman" w:hAnsi="Times New Roman" w:cs="Times New Roman"/>
          <w:b/>
          <w:bCs/>
          <w:kern w:val="0"/>
          <w:sz w:val="24"/>
          <w:szCs w:val="24"/>
          <w:lang w:eastAsia="de-DE"/>
          <w14:ligatures w14:val="none"/>
        </w:rPr>
        <w:t>Ausspeisenetzbetreiber</w:t>
      </w:r>
      <w:r w:rsidRPr="00757E28">
        <w:rPr>
          <w:rFonts w:ascii="Times New Roman" w:eastAsia="Times New Roman" w:hAnsi="Times New Roman" w:cs="Times New Roman"/>
          <w:kern w:val="0"/>
          <w:sz w:val="24"/>
          <w:szCs w:val="24"/>
          <w:lang w:eastAsia="de-DE"/>
          <w14:ligatures w14:val="none"/>
        </w:rPr>
        <w:t xml:space="preserve"> (</w:t>
      </w:r>
      <w:r w:rsidRPr="00757E28">
        <w:rPr>
          <w:rFonts w:ascii="Times New Roman" w:eastAsia="Times New Roman" w:hAnsi="Times New Roman" w:cs="Times New Roman"/>
          <w:b/>
          <w:bCs/>
          <w:kern w:val="0"/>
          <w:sz w:val="24"/>
          <w:szCs w:val="24"/>
          <w:lang w:eastAsia="de-DE"/>
          <w14:ligatures w14:val="none"/>
        </w:rPr>
        <w:t>ANB</w:t>
      </w:r>
      <w:r w:rsidRPr="00757E28">
        <w:rPr>
          <w:rFonts w:ascii="Times New Roman" w:eastAsia="Times New Roman" w:hAnsi="Times New Roman" w:cs="Times New Roman"/>
          <w:kern w:val="0"/>
          <w:sz w:val="24"/>
          <w:szCs w:val="24"/>
          <w:lang w:eastAsia="de-DE"/>
          <w14:ligatures w14:val="none"/>
        </w:rPr>
        <w:t xml:space="preserve">) ermitteln und erfassen schließlich in Zusammenarbeit mit den Messstellenbetreibern die realen Ausspeisungen – gaswirtschaftlich </w:t>
      </w:r>
      <w:r w:rsidRPr="00757E28">
        <w:rPr>
          <w:rFonts w:ascii="Times New Roman" w:eastAsia="Times New Roman" w:hAnsi="Times New Roman" w:cs="Times New Roman"/>
          <w:b/>
          <w:bCs/>
          <w:kern w:val="0"/>
          <w:sz w:val="24"/>
          <w:szCs w:val="24"/>
          <w:lang w:eastAsia="de-DE"/>
          <w14:ligatures w14:val="none"/>
        </w:rPr>
        <w:t>Allokationen</w:t>
      </w:r>
      <w:r w:rsidRPr="00757E28">
        <w:rPr>
          <w:rFonts w:ascii="Times New Roman" w:eastAsia="Times New Roman" w:hAnsi="Times New Roman" w:cs="Times New Roman"/>
          <w:kern w:val="0"/>
          <w:sz w:val="24"/>
          <w:szCs w:val="24"/>
          <w:lang w:eastAsia="de-DE"/>
          <w14:ligatures w14:val="none"/>
        </w:rPr>
        <w:t xml:space="preserve"> genannt – am Ausspeisepunkt des entsprechenden Netzes. Allokationsbemessungen bei Verbrauchern mit Standardlastprofil (Schätzung vorab, Abrechnung nach Jahresablesung) optimieren künftige Prognosen und bilden die Grundlage für die Abwicklung von Bilanzkreisabrechnungen. Bei Verbrauchern mit registrierender Leistungsmessung (RLM), deren Verbrauch mehrmals täglich gemessen wird, sind die Allokationsbemessungen den jeweiligen Lieferanten vorbehalten. </w:t>
      </w:r>
    </w:p>
    <w:p w14:paraId="6BA196B5" w14:textId="77777777" w:rsidR="00757E28" w:rsidRPr="00757E28" w:rsidRDefault="00757E28" w:rsidP="00757E28">
      <w:pPr>
        <w:spacing w:before="100" w:beforeAutospacing="1" w:after="100" w:afterAutospacing="1" w:line="240" w:lineRule="auto"/>
        <w:outlineLvl w:val="2"/>
        <w:rPr>
          <w:rFonts w:ascii="Times New Roman" w:eastAsia="Times New Roman" w:hAnsi="Times New Roman" w:cs="Times New Roman"/>
          <w:b/>
          <w:bCs/>
          <w:kern w:val="0"/>
          <w:sz w:val="28"/>
          <w:szCs w:val="28"/>
          <w:lang w:eastAsia="de-DE"/>
          <w14:ligatures w14:val="none"/>
        </w:rPr>
      </w:pPr>
      <w:r w:rsidRPr="00757E28">
        <w:rPr>
          <w:rFonts w:ascii="Times New Roman" w:eastAsia="Times New Roman" w:hAnsi="Times New Roman" w:cs="Times New Roman"/>
          <w:b/>
          <w:bCs/>
          <w:kern w:val="0"/>
          <w:sz w:val="28"/>
          <w:szCs w:val="28"/>
          <w:lang w:eastAsia="de-DE"/>
          <w14:ligatures w14:val="none"/>
        </w:rPr>
        <w:t>Schwierigkeit genauer Verbrauchsprognosen auf dem Gasmarkt</w:t>
      </w:r>
    </w:p>
    <w:p w14:paraId="311F9BC9" w14:textId="77777777" w:rsidR="00757E28" w:rsidRPr="00757E28" w:rsidRDefault="00757E28" w:rsidP="00757E28">
      <w:pPr>
        <w:spacing w:before="100" w:beforeAutospacing="1" w:after="100" w:afterAutospacing="1" w:line="240" w:lineRule="auto"/>
        <w:rPr>
          <w:rFonts w:ascii="Times New Roman" w:eastAsia="Times New Roman" w:hAnsi="Times New Roman" w:cs="Times New Roman"/>
          <w:kern w:val="0"/>
          <w:sz w:val="24"/>
          <w:szCs w:val="24"/>
          <w:lang w:eastAsia="de-DE"/>
          <w14:ligatures w14:val="none"/>
        </w:rPr>
      </w:pPr>
      <w:r w:rsidRPr="00757E28">
        <w:rPr>
          <w:rFonts w:ascii="Times New Roman" w:eastAsia="Times New Roman" w:hAnsi="Times New Roman" w:cs="Times New Roman"/>
          <w:kern w:val="0"/>
          <w:sz w:val="24"/>
          <w:szCs w:val="24"/>
          <w:lang w:eastAsia="de-DE"/>
          <w14:ligatures w14:val="none"/>
        </w:rPr>
        <w:t xml:space="preserve">Die Verbrauchsprognosen der Bilanzkreisverantwortlichen sind aber </w:t>
      </w:r>
      <w:r w:rsidRPr="00757E28">
        <w:rPr>
          <w:rFonts w:ascii="Times New Roman" w:eastAsia="Times New Roman" w:hAnsi="Times New Roman" w:cs="Times New Roman"/>
          <w:b/>
          <w:bCs/>
          <w:kern w:val="0"/>
          <w:sz w:val="24"/>
          <w:szCs w:val="24"/>
          <w:lang w:eastAsia="de-DE"/>
          <w14:ligatures w14:val="none"/>
        </w:rPr>
        <w:t>nicht immer zutreffend</w:t>
      </w:r>
      <w:r w:rsidRPr="00757E28">
        <w:rPr>
          <w:rFonts w:ascii="Times New Roman" w:eastAsia="Times New Roman" w:hAnsi="Times New Roman" w:cs="Times New Roman"/>
          <w:kern w:val="0"/>
          <w:sz w:val="24"/>
          <w:szCs w:val="24"/>
          <w:lang w:eastAsia="de-DE"/>
          <w14:ligatures w14:val="none"/>
        </w:rPr>
        <w:t xml:space="preserve">. So müssen sie, um den Unter- bzw. Überbedarf zu decken und den Bilanzkreis ausgeglichen zu halten, Differenzen zwischen Nominierung und Allokation durch </w:t>
      </w:r>
      <w:r w:rsidRPr="00757E28">
        <w:rPr>
          <w:rFonts w:ascii="Times New Roman" w:eastAsia="Times New Roman" w:hAnsi="Times New Roman" w:cs="Times New Roman"/>
          <w:b/>
          <w:bCs/>
          <w:kern w:val="0"/>
          <w:sz w:val="24"/>
          <w:szCs w:val="24"/>
          <w:lang w:eastAsia="de-DE"/>
          <w14:ligatures w14:val="none"/>
        </w:rPr>
        <w:t>Ausgleichsenergie kompensieren</w:t>
      </w:r>
      <w:r w:rsidRPr="00757E28">
        <w:rPr>
          <w:rFonts w:ascii="Times New Roman" w:eastAsia="Times New Roman" w:hAnsi="Times New Roman" w:cs="Times New Roman"/>
          <w:kern w:val="0"/>
          <w:sz w:val="24"/>
          <w:szCs w:val="24"/>
          <w:lang w:eastAsia="de-DE"/>
          <w14:ligatures w14:val="none"/>
        </w:rPr>
        <w:t xml:space="preserve">. In der Gaswirtschaft beträgt der Bilanzierungszeitraum einen </w:t>
      </w:r>
      <w:proofErr w:type="spellStart"/>
      <w:r w:rsidRPr="00757E28">
        <w:rPr>
          <w:rFonts w:ascii="Times New Roman" w:eastAsia="Times New Roman" w:hAnsi="Times New Roman" w:cs="Times New Roman"/>
          <w:b/>
          <w:bCs/>
          <w:kern w:val="0"/>
          <w:sz w:val="24"/>
          <w:szCs w:val="24"/>
          <w:lang w:eastAsia="de-DE"/>
          <w14:ligatures w14:val="none"/>
        </w:rPr>
        <w:t>Gastag</w:t>
      </w:r>
      <w:proofErr w:type="spellEnd"/>
      <w:r w:rsidRPr="00757E28">
        <w:rPr>
          <w:rFonts w:ascii="Times New Roman" w:eastAsia="Times New Roman" w:hAnsi="Times New Roman" w:cs="Times New Roman"/>
          <w:kern w:val="0"/>
          <w:sz w:val="24"/>
          <w:szCs w:val="24"/>
          <w:lang w:eastAsia="de-DE"/>
          <w14:ligatures w14:val="none"/>
        </w:rPr>
        <w:t xml:space="preserve"> (06:00 Uhr bis 05:59 Uhr des Folgetages), sodass ein Händler seinen Tagesbedarf theoretisch in nur wenigen Stunden begleichen könnte, ohne Kosten für Ausgleichsenergie tragen zu müssen. Fallen die stündlichen Abweichungen zu groß aus, muss der Bilanzkreisverantwortliche sogenannte Strukturierungsbeiträge zahlen, denen er durch stündliche Prognosen seiner Gasmenge ausweichen kann. </w:t>
      </w:r>
      <w:r w:rsidRPr="00757E28">
        <w:rPr>
          <w:rFonts w:ascii="Times New Roman" w:eastAsia="Times New Roman" w:hAnsi="Times New Roman" w:cs="Times New Roman"/>
          <w:kern w:val="0"/>
          <w:sz w:val="24"/>
          <w:szCs w:val="24"/>
          <w:lang w:eastAsia="de-DE"/>
          <w14:ligatures w14:val="none"/>
        </w:rPr>
        <w:br/>
      </w:r>
      <w:r w:rsidRPr="00757E28">
        <w:rPr>
          <w:rFonts w:ascii="Times New Roman" w:eastAsia="Times New Roman" w:hAnsi="Times New Roman" w:cs="Times New Roman"/>
          <w:kern w:val="0"/>
          <w:sz w:val="24"/>
          <w:szCs w:val="24"/>
          <w:lang w:eastAsia="de-DE"/>
          <w14:ligatures w14:val="none"/>
        </w:rPr>
        <w:br/>
        <w:t xml:space="preserve">Durch präzise Gasmengenprognosen kommt es zu einer höheren Versorgungssicherheit und einem geringeren Bedarf an Regelenergie. Die BKV sind bei </w:t>
      </w:r>
      <w:proofErr w:type="spellStart"/>
      <w:r w:rsidRPr="00757E28">
        <w:rPr>
          <w:rFonts w:ascii="Times New Roman" w:eastAsia="Times New Roman" w:hAnsi="Times New Roman" w:cs="Times New Roman"/>
          <w:kern w:val="0"/>
          <w:sz w:val="24"/>
          <w:szCs w:val="24"/>
          <w:lang w:eastAsia="de-DE"/>
          <w14:ligatures w14:val="none"/>
        </w:rPr>
        <w:t>NetConnect</w:t>
      </w:r>
      <w:proofErr w:type="spellEnd"/>
      <w:r w:rsidRPr="00757E28">
        <w:rPr>
          <w:rFonts w:ascii="Times New Roman" w:eastAsia="Times New Roman" w:hAnsi="Times New Roman" w:cs="Times New Roman"/>
          <w:kern w:val="0"/>
          <w:sz w:val="24"/>
          <w:szCs w:val="24"/>
          <w:lang w:eastAsia="de-DE"/>
          <w14:ligatures w14:val="none"/>
        </w:rPr>
        <w:t xml:space="preserve"> dazu verpflichtet, eine pauschale Bilanzierungsumlage zu entrichten (</w:t>
      </w:r>
      <w:r w:rsidRPr="00757E28">
        <w:rPr>
          <w:rFonts w:ascii="Times New Roman" w:eastAsia="Times New Roman" w:hAnsi="Times New Roman" w:cs="Times New Roman"/>
          <w:b/>
          <w:bCs/>
          <w:kern w:val="0"/>
          <w:sz w:val="24"/>
          <w:szCs w:val="24"/>
          <w:lang w:eastAsia="de-DE"/>
          <w14:ligatures w14:val="none"/>
        </w:rPr>
        <w:t xml:space="preserve">zurzeit 0,8 EUR/MWh für SLP-Kunden und 0,4 EUR/MWh für RLM-Kunden – </w:t>
      </w:r>
      <w:proofErr w:type="spellStart"/>
      <w:r w:rsidRPr="00757E28">
        <w:rPr>
          <w:rFonts w:ascii="Times New Roman" w:eastAsia="Times New Roman" w:hAnsi="Times New Roman" w:cs="Times New Roman"/>
          <w:b/>
          <w:bCs/>
          <w:kern w:val="0"/>
          <w:sz w:val="24"/>
          <w:szCs w:val="24"/>
          <w:lang w:eastAsia="de-DE"/>
          <w14:ligatures w14:val="none"/>
        </w:rPr>
        <w:t>Gaspool</w:t>
      </w:r>
      <w:proofErr w:type="spellEnd"/>
      <w:r w:rsidRPr="00757E28">
        <w:rPr>
          <w:rFonts w:ascii="Times New Roman" w:eastAsia="Times New Roman" w:hAnsi="Times New Roman" w:cs="Times New Roman"/>
          <w:b/>
          <w:bCs/>
          <w:kern w:val="0"/>
          <w:sz w:val="24"/>
          <w:szCs w:val="24"/>
          <w:lang w:eastAsia="de-DE"/>
          <w14:ligatures w14:val="none"/>
        </w:rPr>
        <w:t xml:space="preserve"> erhebt keine Bilanzierungsumlage</w:t>
      </w:r>
      <w:r w:rsidRPr="00757E28">
        <w:rPr>
          <w:rFonts w:ascii="Times New Roman" w:eastAsia="Times New Roman" w:hAnsi="Times New Roman" w:cs="Times New Roman"/>
          <w:kern w:val="0"/>
          <w:sz w:val="24"/>
          <w:szCs w:val="24"/>
          <w:lang w:eastAsia="de-DE"/>
          <w14:ligatures w14:val="none"/>
        </w:rPr>
        <w:t>). Regelenergie wird physisch überwiegend intern beschafft – beispielsweise durch vorhandene Netzpuffer und Speicher. Externe Gasbeschaffungen ähneln dem Regelenergiemarkt für Strom. Beim Gasmarkt organisieren die MGV die qualitätsübergreifende Regelenergiebeschaffung.</w:t>
      </w:r>
      <w:r w:rsidRPr="00757E28">
        <w:rPr>
          <w:rFonts w:ascii="Times New Roman" w:eastAsia="Times New Roman" w:hAnsi="Times New Roman" w:cs="Times New Roman"/>
          <w:kern w:val="0"/>
          <w:sz w:val="24"/>
          <w:szCs w:val="24"/>
          <w:lang w:eastAsia="de-DE"/>
          <w14:ligatures w14:val="none"/>
        </w:rPr>
        <w:br/>
      </w:r>
      <w:r w:rsidRPr="00757E28">
        <w:rPr>
          <w:rFonts w:ascii="Times New Roman" w:eastAsia="Times New Roman" w:hAnsi="Times New Roman" w:cs="Times New Roman"/>
          <w:kern w:val="0"/>
          <w:sz w:val="24"/>
          <w:szCs w:val="24"/>
          <w:lang w:eastAsia="de-DE"/>
          <w14:ligatures w14:val="none"/>
        </w:rPr>
        <w:br/>
        <w:t>Durch Veredelungsprozesse aufbereitetes Biogas kann in das deutsche Gasnetz eingespeist werden. Für dieses „</w:t>
      </w:r>
      <w:proofErr w:type="spellStart"/>
      <w:r w:rsidRPr="00757E28">
        <w:rPr>
          <w:rFonts w:ascii="Times New Roman" w:eastAsia="Times New Roman" w:hAnsi="Times New Roman" w:cs="Times New Roman"/>
          <w:b/>
          <w:bCs/>
          <w:kern w:val="0"/>
          <w:sz w:val="24"/>
          <w:szCs w:val="24"/>
          <w:lang w:eastAsia="de-DE"/>
          <w14:ligatures w14:val="none"/>
        </w:rPr>
        <w:t>Grüngas</w:t>
      </w:r>
      <w:proofErr w:type="spellEnd"/>
      <w:r w:rsidRPr="00757E28">
        <w:rPr>
          <w:rFonts w:ascii="Times New Roman" w:eastAsia="Times New Roman" w:hAnsi="Times New Roman" w:cs="Times New Roman"/>
          <w:kern w:val="0"/>
          <w:sz w:val="24"/>
          <w:szCs w:val="24"/>
          <w:lang w:eastAsia="de-DE"/>
          <w14:ligatures w14:val="none"/>
        </w:rPr>
        <w:t xml:space="preserve">“ gilt ein gesonderter Biogasbilanzkreis, der bestimmte </w:t>
      </w:r>
      <w:r w:rsidRPr="00757E28">
        <w:rPr>
          <w:rFonts w:ascii="Times New Roman" w:eastAsia="Times New Roman" w:hAnsi="Times New Roman" w:cs="Times New Roman"/>
          <w:kern w:val="0"/>
          <w:sz w:val="24"/>
          <w:szCs w:val="24"/>
          <w:lang w:eastAsia="de-DE"/>
          <w14:ligatures w14:val="none"/>
        </w:rPr>
        <w:lastRenderedPageBreak/>
        <w:t xml:space="preserve">Bedingungen erfüllen muss. Gemäß </w:t>
      </w:r>
      <w:hyperlink r:id="rId16" w:tooltip="Hier geht's zum Gesetz" w:history="1">
        <w:r w:rsidRPr="00757E28">
          <w:rPr>
            <w:rFonts w:ascii="Times New Roman" w:eastAsia="Times New Roman" w:hAnsi="Times New Roman" w:cs="Times New Roman"/>
            <w:color w:val="0000FF"/>
            <w:kern w:val="0"/>
            <w:sz w:val="24"/>
            <w:szCs w:val="24"/>
            <w:u w:val="single"/>
            <w:lang w:eastAsia="de-DE"/>
            <w14:ligatures w14:val="none"/>
          </w:rPr>
          <w:t>§35 Gas NZV</w:t>
        </w:r>
      </w:hyperlink>
      <w:r w:rsidRPr="00757E28">
        <w:rPr>
          <w:rFonts w:ascii="Times New Roman" w:eastAsia="Times New Roman" w:hAnsi="Times New Roman" w:cs="Times New Roman"/>
          <w:kern w:val="0"/>
          <w:sz w:val="24"/>
          <w:szCs w:val="24"/>
          <w:lang w:eastAsia="de-DE"/>
          <w14:ligatures w14:val="none"/>
        </w:rPr>
        <w:t xml:space="preserve"> handelt es sich um einen erweiterten Bilanzausgleich, um die Erneuerbaren Energien zu fördern.</w:t>
      </w:r>
    </w:p>
    <w:p w14:paraId="65919BF8" w14:textId="77777777" w:rsidR="00757E28" w:rsidRPr="00757E28" w:rsidRDefault="00757E28">
      <w:pPr>
        <w:rPr>
          <w:rFonts w:ascii="Times New Roman" w:hAnsi="Times New Roman" w:cs="Times New Roman"/>
          <w:sz w:val="24"/>
          <w:szCs w:val="24"/>
        </w:rPr>
      </w:pPr>
    </w:p>
    <w:sectPr w:rsidR="00757E28" w:rsidRPr="00757E2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1623D"/>
    <w:multiLevelType w:val="multilevel"/>
    <w:tmpl w:val="FF10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3A3E6D"/>
    <w:multiLevelType w:val="multilevel"/>
    <w:tmpl w:val="1A3CE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277682">
    <w:abstractNumId w:val="1"/>
  </w:num>
  <w:num w:numId="2" w16cid:durableId="1177236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28"/>
    <w:rsid w:val="005A615F"/>
    <w:rsid w:val="00721691"/>
    <w:rsid w:val="00757E28"/>
    <w:rsid w:val="00974EE0"/>
    <w:rsid w:val="00994CFD"/>
    <w:rsid w:val="00EA556A"/>
    <w:rsid w:val="00FD3F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A3D3"/>
  <w15:chartTrackingRefBased/>
  <w15:docId w15:val="{000DE238-8CCB-4CBA-BC63-29FF786A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7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7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7E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7E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7E2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7E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7E28"/>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757E28"/>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7E28"/>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7E2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7E2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7E2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7E2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7E2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757E2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7E2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757E2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7E2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757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7E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7E2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7E2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757E2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7E28"/>
    <w:rPr>
      <w:i/>
      <w:iCs/>
      <w:color w:val="404040" w:themeColor="text1" w:themeTint="BF"/>
    </w:rPr>
  </w:style>
  <w:style w:type="paragraph" w:styleId="Listenabsatz">
    <w:name w:val="List Paragraph"/>
    <w:basedOn w:val="Standard"/>
    <w:uiPriority w:val="34"/>
    <w:qFormat/>
    <w:rsid w:val="00757E28"/>
    <w:pPr>
      <w:ind w:left="720"/>
      <w:contextualSpacing/>
    </w:pPr>
  </w:style>
  <w:style w:type="character" w:styleId="IntensiveHervorhebung">
    <w:name w:val="Intense Emphasis"/>
    <w:basedOn w:val="Absatz-Standardschriftart"/>
    <w:uiPriority w:val="21"/>
    <w:qFormat/>
    <w:rsid w:val="00757E28"/>
    <w:rPr>
      <w:i/>
      <w:iCs/>
      <w:color w:val="0F4761" w:themeColor="accent1" w:themeShade="BF"/>
    </w:rPr>
  </w:style>
  <w:style w:type="paragraph" w:styleId="IntensivesZitat">
    <w:name w:val="Intense Quote"/>
    <w:basedOn w:val="Standard"/>
    <w:next w:val="Standard"/>
    <w:link w:val="IntensivesZitatZchn"/>
    <w:uiPriority w:val="30"/>
    <w:qFormat/>
    <w:rsid w:val="00757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7E28"/>
    <w:rPr>
      <w:i/>
      <w:iCs/>
      <w:color w:val="0F4761" w:themeColor="accent1" w:themeShade="BF"/>
    </w:rPr>
  </w:style>
  <w:style w:type="character" w:styleId="IntensiverVerweis">
    <w:name w:val="Intense Reference"/>
    <w:basedOn w:val="Absatz-Standardschriftart"/>
    <w:uiPriority w:val="32"/>
    <w:qFormat/>
    <w:rsid w:val="00757E28"/>
    <w:rPr>
      <w:b/>
      <w:bCs/>
      <w:smallCaps/>
      <w:color w:val="0F4761" w:themeColor="accent1" w:themeShade="BF"/>
      <w:spacing w:val="5"/>
    </w:rPr>
  </w:style>
  <w:style w:type="character" w:styleId="Fett">
    <w:name w:val="Strong"/>
    <w:basedOn w:val="Absatz-Standardschriftart"/>
    <w:uiPriority w:val="22"/>
    <w:qFormat/>
    <w:rsid w:val="00757E28"/>
    <w:rPr>
      <w:b/>
      <w:bCs/>
    </w:rPr>
  </w:style>
  <w:style w:type="character" w:styleId="Hyperlink">
    <w:name w:val="Hyperlink"/>
    <w:basedOn w:val="Absatz-Standardschriftart"/>
    <w:uiPriority w:val="99"/>
    <w:semiHidden/>
    <w:unhideWhenUsed/>
    <w:rsid w:val="00757E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86587">
      <w:bodyDiv w:val="1"/>
      <w:marLeft w:val="0"/>
      <w:marRight w:val="0"/>
      <w:marTop w:val="0"/>
      <w:marBottom w:val="0"/>
      <w:divBdr>
        <w:top w:val="none" w:sz="0" w:space="0" w:color="auto"/>
        <w:left w:val="none" w:sz="0" w:space="0" w:color="auto"/>
        <w:bottom w:val="none" w:sz="0" w:space="0" w:color="auto"/>
        <w:right w:val="none" w:sz="0" w:space="0" w:color="auto"/>
      </w:divBdr>
      <w:divsChild>
        <w:div w:id="5524696">
          <w:marLeft w:val="0"/>
          <w:marRight w:val="0"/>
          <w:marTop w:val="0"/>
          <w:marBottom w:val="0"/>
          <w:divBdr>
            <w:top w:val="none" w:sz="0" w:space="0" w:color="auto"/>
            <w:left w:val="none" w:sz="0" w:space="0" w:color="auto"/>
            <w:bottom w:val="none" w:sz="0" w:space="0" w:color="auto"/>
            <w:right w:val="none" w:sz="0" w:space="0" w:color="auto"/>
          </w:divBdr>
          <w:divsChild>
            <w:div w:id="350187668">
              <w:marLeft w:val="0"/>
              <w:marRight w:val="0"/>
              <w:marTop w:val="0"/>
              <w:marBottom w:val="0"/>
              <w:divBdr>
                <w:top w:val="none" w:sz="0" w:space="0" w:color="auto"/>
                <w:left w:val="none" w:sz="0" w:space="0" w:color="auto"/>
                <w:bottom w:val="none" w:sz="0" w:space="0" w:color="auto"/>
                <w:right w:val="none" w:sz="0" w:space="0" w:color="auto"/>
              </w:divBdr>
              <w:divsChild>
                <w:div w:id="1397244486">
                  <w:marLeft w:val="0"/>
                  <w:marRight w:val="0"/>
                  <w:marTop w:val="0"/>
                  <w:marBottom w:val="0"/>
                  <w:divBdr>
                    <w:top w:val="none" w:sz="0" w:space="0" w:color="auto"/>
                    <w:left w:val="none" w:sz="0" w:space="0" w:color="auto"/>
                    <w:bottom w:val="none" w:sz="0" w:space="0" w:color="auto"/>
                    <w:right w:val="none" w:sz="0" w:space="0" w:color="auto"/>
                  </w:divBdr>
                  <w:divsChild>
                    <w:div w:id="1519269867">
                      <w:marLeft w:val="0"/>
                      <w:marRight w:val="0"/>
                      <w:marTop w:val="0"/>
                      <w:marBottom w:val="0"/>
                      <w:divBdr>
                        <w:top w:val="none" w:sz="0" w:space="0" w:color="auto"/>
                        <w:left w:val="none" w:sz="0" w:space="0" w:color="auto"/>
                        <w:bottom w:val="none" w:sz="0" w:space="0" w:color="auto"/>
                        <w:right w:val="none" w:sz="0" w:space="0" w:color="auto"/>
                      </w:divBdr>
                      <w:divsChild>
                        <w:div w:id="2040929565">
                          <w:marLeft w:val="0"/>
                          <w:marRight w:val="0"/>
                          <w:marTop w:val="0"/>
                          <w:marBottom w:val="0"/>
                          <w:divBdr>
                            <w:top w:val="none" w:sz="0" w:space="0" w:color="auto"/>
                            <w:left w:val="none" w:sz="0" w:space="0" w:color="auto"/>
                            <w:bottom w:val="none" w:sz="0" w:space="0" w:color="auto"/>
                            <w:right w:val="none" w:sz="0" w:space="0" w:color="auto"/>
                          </w:divBdr>
                        </w:div>
                        <w:div w:id="19096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235684">
      <w:bodyDiv w:val="1"/>
      <w:marLeft w:val="0"/>
      <w:marRight w:val="0"/>
      <w:marTop w:val="0"/>
      <w:marBottom w:val="0"/>
      <w:divBdr>
        <w:top w:val="none" w:sz="0" w:space="0" w:color="auto"/>
        <w:left w:val="none" w:sz="0" w:space="0" w:color="auto"/>
        <w:bottom w:val="none" w:sz="0" w:space="0" w:color="auto"/>
        <w:right w:val="none" w:sz="0" w:space="0" w:color="auto"/>
      </w:divBdr>
      <w:divsChild>
        <w:div w:id="876770816">
          <w:marLeft w:val="0"/>
          <w:marRight w:val="0"/>
          <w:marTop w:val="0"/>
          <w:marBottom w:val="0"/>
          <w:divBdr>
            <w:top w:val="none" w:sz="0" w:space="0" w:color="auto"/>
            <w:left w:val="none" w:sz="0" w:space="0" w:color="auto"/>
            <w:bottom w:val="none" w:sz="0" w:space="0" w:color="auto"/>
            <w:right w:val="none" w:sz="0" w:space="0" w:color="auto"/>
          </w:divBdr>
        </w:div>
        <w:div w:id="267978415">
          <w:marLeft w:val="0"/>
          <w:marRight w:val="0"/>
          <w:marTop w:val="0"/>
          <w:marBottom w:val="0"/>
          <w:divBdr>
            <w:top w:val="none" w:sz="0" w:space="0" w:color="auto"/>
            <w:left w:val="none" w:sz="0" w:space="0" w:color="auto"/>
            <w:bottom w:val="none" w:sz="0" w:space="0" w:color="auto"/>
            <w:right w:val="none" w:sz="0" w:space="0" w:color="auto"/>
          </w:divBdr>
        </w:div>
        <w:div w:id="1815097152">
          <w:marLeft w:val="0"/>
          <w:marRight w:val="0"/>
          <w:marTop w:val="0"/>
          <w:marBottom w:val="0"/>
          <w:divBdr>
            <w:top w:val="none" w:sz="0" w:space="0" w:color="auto"/>
            <w:left w:val="none" w:sz="0" w:space="0" w:color="auto"/>
            <w:bottom w:val="none" w:sz="0" w:space="0" w:color="auto"/>
            <w:right w:val="none" w:sz="0" w:space="0" w:color="auto"/>
          </w:divBdr>
        </w:div>
      </w:divsChild>
    </w:div>
    <w:div w:id="1698390266">
      <w:bodyDiv w:val="1"/>
      <w:marLeft w:val="0"/>
      <w:marRight w:val="0"/>
      <w:marTop w:val="0"/>
      <w:marBottom w:val="0"/>
      <w:divBdr>
        <w:top w:val="none" w:sz="0" w:space="0" w:color="auto"/>
        <w:left w:val="none" w:sz="0" w:space="0" w:color="auto"/>
        <w:bottom w:val="none" w:sz="0" w:space="0" w:color="auto"/>
        <w:right w:val="none" w:sz="0" w:space="0" w:color="auto"/>
      </w:divBdr>
      <w:divsChild>
        <w:div w:id="721713421">
          <w:marLeft w:val="0"/>
          <w:marRight w:val="0"/>
          <w:marTop w:val="0"/>
          <w:marBottom w:val="0"/>
          <w:divBdr>
            <w:top w:val="none" w:sz="0" w:space="0" w:color="auto"/>
            <w:left w:val="none" w:sz="0" w:space="0" w:color="auto"/>
            <w:bottom w:val="none" w:sz="0" w:space="0" w:color="auto"/>
            <w:right w:val="none" w:sz="0" w:space="0" w:color="auto"/>
          </w:divBdr>
        </w:div>
        <w:div w:id="279921930">
          <w:marLeft w:val="0"/>
          <w:marRight w:val="0"/>
          <w:marTop w:val="0"/>
          <w:marBottom w:val="0"/>
          <w:divBdr>
            <w:top w:val="none" w:sz="0" w:space="0" w:color="auto"/>
            <w:left w:val="none" w:sz="0" w:space="0" w:color="auto"/>
            <w:bottom w:val="none" w:sz="0" w:space="0" w:color="auto"/>
            <w:right w:val="none" w:sz="0" w:space="0" w:color="auto"/>
          </w:divBdr>
        </w:div>
        <w:div w:id="348606619">
          <w:marLeft w:val="0"/>
          <w:marRight w:val="0"/>
          <w:marTop w:val="0"/>
          <w:marBottom w:val="0"/>
          <w:divBdr>
            <w:top w:val="none" w:sz="0" w:space="0" w:color="auto"/>
            <w:left w:val="none" w:sz="0" w:space="0" w:color="auto"/>
            <w:bottom w:val="none" w:sz="0" w:space="0" w:color="auto"/>
            <w:right w:val="none" w:sz="0" w:space="0" w:color="auto"/>
          </w:divBdr>
        </w:div>
      </w:divsChild>
    </w:div>
    <w:div w:id="1967931869">
      <w:bodyDiv w:val="1"/>
      <w:marLeft w:val="0"/>
      <w:marRight w:val="0"/>
      <w:marTop w:val="0"/>
      <w:marBottom w:val="0"/>
      <w:divBdr>
        <w:top w:val="none" w:sz="0" w:space="0" w:color="auto"/>
        <w:left w:val="none" w:sz="0" w:space="0" w:color="auto"/>
        <w:bottom w:val="none" w:sz="0" w:space="0" w:color="auto"/>
        <w:right w:val="none" w:sz="0" w:space="0" w:color="auto"/>
      </w:divBdr>
      <w:divsChild>
        <w:div w:id="1691837063">
          <w:marLeft w:val="0"/>
          <w:marRight w:val="0"/>
          <w:marTop w:val="0"/>
          <w:marBottom w:val="0"/>
          <w:divBdr>
            <w:top w:val="none" w:sz="0" w:space="0" w:color="auto"/>
            <w:left w:val="none" w:sz="0" w:space="0" w:color="auto"/>
            <w:bottom w:val="none" w:sz="0" w:space="0" w:color="auto"/>
            <w:right w:val="none" w:sz="0" w:space="0" w:color="auto"/>
          </w:divBdr>
          <w:divsChild>
            <w:div w:id="923302376">
              <w:marLeft w:val="0"/>
              <w:marRight w:val="0"/>
              <w:marTop w:val="0"/>
              <w:marBottom w:val="0"/>
              <w:divBdr>
                <w:top w:val="none" w:sz="0" w:space="0" w:color="auto"/>
                <w:left w:val="none" w:sz="0" w:space="0" w:color="auto"/>
                <w:bottom w:val="none" w:sz="0" w:space="0" w:color="auto"/>
                <w:right w:val="none" w:sz="0" w:space="0" w:color="auto"/>
              </w:divBdr>
              <w:divsChild>
                <w:div w:id="757749884">
                  <w:marLeft w:val="0"/>
                  <w:marRight w:val="0"/>
                  <w:marTop w:val="0"/>
                  <w:marBottom w:val="0"/>
                  <w:divBdr>
                    <w:top w:val="none" w:sz="0" w:space="0" w:color="auto"/>
                    <w:left w:val="none" w:sz="0" w:space="0" w:color="auto"/>
                    <w:bottom w:val="none" w:sz="0" w:space="0" w:color="auto"/>
                    <w:right w:val="none" w:sz="0" w:space="0" w:color="auto"/>
                  </w:divBdr>
                  <w:divsChild>
                    <w:div w:id="673649233">
                      <w:marLeft w:val="0"/>
                      <w:marRight w:val="0"/>
                      <w:marTop w:val="0"/>
                      <w:marBottom w:val="0"/>
                      <w:divBdr>
                        <w:top w:val="none" w:sz="0" w:space="0" w:color="auto"/>
                        <w:left w:val="none" w:sz="0" w:space="0" w:color="auto"/>
                        <w:bottom w:val="none" w:sz="0" w:space="0" w:color="auto"/>
                        <w:right w:val="none" w:sz="0" w:space="0" w:color="auto"/>
                      </w:divBdr>
                      <w:divsChild>
                        <w:div w:id="1841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xt-kraftwerke.de/wissen/regelenergie/ausgleichsenergie" TargetMode="External"/><Relationship Id="rId13" Type="http://schemas.openxmlformats.org/officeDocument/2006/relationships/hyperlink" Target="https://www.next-kraftwerke.de/wissen/intraday-hande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next-kraftwerke.de/energie-blog/stromnetzfrequen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esetze-im-internet.de/gasnzv_2010/BJNR126110010.html" TargetMode="External"/><Relationship Id="rId1" Type="http://schemas.openxmlformats.org/officeDocument/2006/relationships/numbering" Target="numbering.xml"/><Relationship Id="rId6" Type="http://schemas.openxmlformats.org/officeDocument/2006/relationships/hyperlink" Target="http://www.bundesnetzagentur.de/DE/Service-Funktionen/Beschlusskammern/1BK-Geschaeftszeichen-Datenbank/BK6-GZ/2006/2006_0001bis0999/2006_001bis099/BK6-06-013/BK6-06-013_Beschluss_2011_06_29.pdf?__blob=publicationFile&amp;v=5" TargetMode="External"/><Relationship Id="rId11" Type="http://schemas.openxmlformats.org/officeDocument/2006/relationships/hyperlink" Target="https://www.next-kraftwerke.de/energie-blog/fur-eine-handvoll-dollar-high-noon-am-regelenergiemarkt" TargetMode="External"/><Relationship Id="rId5" Type="http://schemas.openxmlformats.org/officeDocument/2006/relationships/image" Target="media/image1.png"/><Relationship Id="rId15" Type="http://schemas.openxmlformats.org/officeDocument/2006/relationships/hyperlink" Target="https://www.next-kraftwerke.de/wissen/ausgleichsenergie" TargetMode="External"/><Relationship Id="rId10" Type="http://schemas.openxmlformats.org/officeDocument/2006/relationships/hyperlink" Target="https://www.next-kraftwerke.de/wissen/dispatch-redispatch" TargetMode="External"/><Relationship Id="rId4" Type="http://schemas.openxmlformats.org/officeDocument/2006/relationships/webSettings" Target="webSettings.xml"/><Relationship Id="rId9" Type="http://schemas.openxmlformats.org/officeDocument/2006/relationships/hyperlink" Target="https://www.next-kraftwerke.de/wissen/dispatch-redispatch" TargetMode="External"/><Relationship Id="rId14" Type="http://schemas.openxmlformats.org/officeDocument/2006/relationships/hyperlink" Target="https://www.next-kraftwerke.de/neues/urteil-mischpreisverfahre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1863</Words>
  <Characters>11737</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Günter Hinrichs</dc:creator>
  <cp:keywords/>
  <dc:description/>
  <cp:lastModifiedBy>Günter Hinrichs</cp:lastModifiedBy>
  <cp:revision>1</cp:revision>
  <dcterms:created xsi:type="dcterms:W3CDTF">2025-01-26T08:55:00Z</dcterms:created>
  <dcterms:modified xsi:type="dcterms:W3CDTF">2025-01-26T09:34:00Z</dcterms:modified>
</cp:coreProperties>
</file>