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A1F50" w14:textId="2E8C2616" w:rsidR="00336721" w:rsidRPr="00336721" w:rsidRDefault="00336721" w:rsidP="00436309">
      <w:pPr>
        <w:pStyle w:val="StandardWeb"/>
        <w:kinsoku w:val="0"/>
        <w:overflowPunct w:val="0"/>
        <w:spacing w:before="0" w:beforeAutospacing="0" w:after="0" w:afterAutospacing="0"/>
        <w:textAlignment w:val="baseline"/>
        <w:rPr>
          <w:rFonts w:asciiTheme="minorHAnsi" w:eastAsiaTheme="minorEastAsia" w:hAnsiTheme="minorHAnsi" w:cstheme="minorHAnsi"/>
          <w:b/>
          <w:bCs/>
          <w:color w:val="000000" w:themeColor="text1"/>
          <w:kern w:val="24"/>
        </w:rPr>
      </w:pPr>
      <w:r w:rsidRPr="00336721">
        <w:rPr>
          <w:rFonts w:asciiTheme="minorHAnsi" w:eastAsiaTheme="minorEastAsia" w:hAnsiTheme="minorHAnsi" w:cstheme="minorHAnsi"/>
          <w:b/>
          <w:bCs/>
          <w:color w:val="000000" w:themeColor="text1"/>
          <w:kern w:val="24"/>
        </w:rPr>
        <w:t xml:space="preserve">B3-UV2 – Verträge außerhalb der Grundversorgung </w:t>
      </w:r>
      <w:r w:rsidRPr="00336721">
        <w:rPr>
          <w:rFonts w:asciiTheme="minorHAnsi" w:eastAsiaTheme="minorEastAsia" w:hAnsiTheme="minorHAnsi" w:cstheme="minorHAnsi"/>
          <w:b/>
          <w:bCs/>
          <w:color w:val="000000" w:themeColor="text1"/>
          <w:kern w:val="24"/>
        </w:rPr>
        <w:tab/>
      </w:r>
      <w:r w:rsidRPr="00336721">
        <w:rPr>
          <w:rFonts w:asciiTheme="minorHAnsi" w:eastAsiaTheme="minorEastAsia" w:hAnsiTheme="minorHAnsi" w:cstheme="minorHAnsi"/>
          <w:b/>
          <w:bCs/>
          <w:color w:val="000000" w:themeColor="text1"/>
          <w:kern w:val="24"/>
        </w:rPr>
        <w:tab/>
      </w:r>
      <w:r w:rsidRPr="00336721">
        <w:rPr>
          <w:rFonts w:asciiTheme="minorHAnsi" w:eastAsiaTheme="minorEastAsia" w:hAnsiTheme="minorHAnsi" w:cstheme="minorHAnsi"/>
          <w:b/>
          <w:bCs/>
          <w:color w:val="000000" w:themeColor="text1"/>
          <w:kern w:val="24"/>
        </w:rPr>
        <w:tab/>
        <w:t>update 29.10.2022</w:t>
      </w:r>
    </w:p>
    <w:p w14:paraId="477A3892" w14:textId="02C320B3" w:rsidR="00D83671" w:rsidRPr="00336721" w:rsidRDefault="00336721" w:rsidP="00436309">
      <w:pPr>
        <w:pStyle w:val="StandardWeb"/>
        <w:kinsoku w:val="0"/>
        <w:overflowPunct w:val="0"/>
        <w:spacing w:before="0" w:beforeAutospacing="0" w:after="0" w:afterAutospacing="0"/>
        <w:textAlignment w:val="baseline"/>
        <w:rPr>
          <w:rFonts w:asciiTheme="minorHAnsi" w:eastAsiaTheme="minorEastAsia" w:hAnsiTheme="minorHAnsi" w:cstheme="minorHAnsi"/>
          <w:b/>
          <w:bCs/>
          <w:color w:val="000000" w:themeColor="text1"/>
          <w:kern w:val="24"/>
        </w:rPr>
      </w:pPr>
      <w:r w:rsidRPr="00336721">
        <w:rPr>
          <w:rFonts w:asciiTheme="minorHAnsi" w:eastAsiaTheme="minorEastAsia" w:hAnsiTheme="minorHAnsi" w:cstheme="minorHAnsi"/>
          <w:b/>
          <w:bCs/>
          <w:color w:val="000000" w:themeColor="text1"/>
          <w:kern w:val="24"/>
        </w:rPr>
        <w:t xml:space="preserve"> </w:t>
      </w:r>
    </w:p>
    <w:p w14:paraId="36D92131" w14:textId="0D4F1083" w:rsidR="00510EFE" w:rsidRPr="00020F5C" w:rsidRDefault="00336721" w:rsidP="00AD1AC0">
      <w:pPr>
        <w:pStyle w:val="StandardWeb"/>
        <w:kinsoku w:val="0"/>
        <w:overflowPunct w:val="0"/>
        <w:spacing w:before="0" w:beforeAutospacing="0" w:after="0" w:afterAutospacing="0"/>
        <w:textAlignment w:val="baseline"/>
        <w:rPr>
          <w:rFonts w:asciiTheme="minorHAnsi" w:eastAsiaTheme="minorEastAsia" w:hAnsiTheme="minorHAnsi" w:cstheme="minorHAnsi"/>
          <w:b/>
          <w:bCs/>
          <w:color w:val="000000" w:themeColor="text1"/>
          <w:kern w:val="24"/>
          <w:sz w:val="22"/>
          <w:szCs w:val="22"/>
          <w:u w:val="single"/>
        </w:rPr>
      </w:pPr>
      <w:r w:rsidRPr="00336721">
        <w:rPr>
          <w:rFonts w:asciiTheme="minorHAnsi" w:eastAsiaTheme="minorEastAsia" w:hAnsiTheme="minorHAnsi" w:cstheme="minorHAnsi"/>
          <w:b/>
          <w:bCs/>
          <w:color w:val="C00000"/>
          <w:kern w:val="24"/>
          <w:sz w:val="44"/>
          <w:szCs w:val="44"/>
        </w:rPr>
        <w:t xml:space="preserve">Verträge </w:t>
      </w:r>
      <w:r w:rsidR="00510EFE" w:rsidRPr="00336721">
        <w:rPr>
          <w:rFonts w:asciiTheme="minorHAnsi" w:eastAsiaTheme="minorEastAsia" w:hAnsiTheme="minorHAnsi" w:cstheme="minorHAnsi"/>
          <w:b/>
          <w:bCs/>
          <w:color w:val="C00000"/>
          <w:kern w:val="24"/>
          <w:sz w:val="44"/>
          <w:szCs w:val="44"/>
        </w:rPr>
        <w:t>außerhalb der Grundversorgung</w:t>
      </w:r>
      <w:r w:rsidR="00510EFE" w:rsidRPr="00336721">
        <w:rPr>
          <w:rFonts w:asciiTheme="minorHAnsi" w:eastAsiaTheme="minorEastAsia" w:hAnsiTheme="minorHAnsi" w:cstheme="minorHAnsi"/>
          <w:b/>
          <w:bCs/>
          <w:color w:val="C00000"/>
          <w:kern w:val="24"/>
          <w:sz w:val="28"/>
          <w:szCs w:val="28"/>
        </w:rPr>
        <w:t xml:space="preserve"> </w:t>
      </w:r>
      <w:r w:rsidR="00020F5C" w:rsidRPr="00336721">
        <w:rPr>
          <w:rFonts w:asciiTheme="minorHAnsi" w:eastAsiaTheme="minorEastAsia" w:hAnsiTheme="minorHAnsi" w:cstheme="minorHAnsi"/>
          <w:b/>
          <w:bCs/>
          <w:color w:val="000000" w:themeColor="text1"/>
          <w:kern w:val="24"/>
          <w:sz w:val="28"/>
          <w:szCs w:val="28"/>
        </w:rPr>
        <w:br/>
      </w:r>
      <w:r w:rsidR="00020F5C" w:rsidRPr="00020F5C">
        <w:rPr>
          <w:rFonts w:asciiTheme="minorHAnsi" w:eastAsiaTheme="minorEastAsia" w:hAnsiTheme="minorHAnsi" w:cstheme="minorHAnsi"/>
          <w:bCs/>
          <w:color w:val="000000" w:themeColor="text1"/>
          <w:kern w:val="24"/>
          <w:sz w:val="22"/>
          <w:szCs w:val="22"/>
        </w:rPr>
        <w:t>(kann auch der Grundversorger sein)</w:t>
      </w:r>
    </w:p>
    <w:p w14:paraId="447446B3" w14:textId="77777777" w:rsidR="00336721" w:rsidRDefault="00336721" w:rsidP="00336721">
      <w:pPr>
        <w:pStyle w:val="StandardWeb"/>
        <w:kinsoku w:val="0"/>
        <w:overflowPunct w:val="0"/>
        <w:spacing w:before="0" w:beforeAutospacing="0" w:after="0" w:afterAutospacing="0"/>
        <w:textAlignment w:val="baseline"/>
        <w:rPr>
          <w:rFonts w:asciiTheme="minorHAnsi" w:eastAsiaTheme="minorEastAsia" w:hAnsiTheme="minorHAnsi" w:cstheme="minorHAnsi"/>
          <w:b/>
          <w:bCs/>
          <w:color w:val="0070C0"/>
          <w:kern w:val="24"/>
        </w:rPr>
      </w:pPr>
    </w:p>
    <w:p w14:paraId="6A9C7DA6" w14:textId="4449FD12" w:rsidR="00215F42" w:rsidRPr="00336721" w:rsidRDefault="00215F42" w:rsidP="00336721">
      <w:pPr>
        <w:pStyle w:val="StandardWeb"/>
        <w:kinsoku w:val="0"/>
        <w:overflowPunct w:val="0"/>
        <w:spacing w:before="0" w:beforeAutospacing="0" w:after="0" w:afterAutospacing="0"/>
        <w:textAlignment w:val="baseline"/>
        <w:rPr>
          <w:rFonts w:asciiTheme="minorHAnsi" w:eastAsiaTheme="minorEastAsia" w:hAnsiTheme="minorHAnsi" w:cstheme="minorHAnsi"/>
          <w:kern w:val="24"/>
          <w:sz w:val="22"/>
          <w:szCs w:val="22"/>
        </w:rPr>
      </w:pPr>
      <w:r w:rsidRPr="00336721">
        <w:rPr>
          <w:rFonts w:asciiTheme="minorHAnsi" w:eastAsiaTheme="minorEastAsia" w:hAnsiTheme="minorHAnsi" w:cstheme="minorHAnsi"/>
          <w:kern w:val="24"/>
          <w:sz w:val="22"/>
          <w:szCs w:val="22"/>
        </w:rPr>
        <w:t>Energieversorger kann</w:t>
      </w:r>
      <w:r w:rsidR="00D32AA1" w:rsidRPr="00336721">
        <w:rPr>
          <w:rFonts w:asciiTheme="minorHAnsi" w:eastAsiaTheme="minorEastAsia" w:hAnsiTheme="minorHAnsi" w:cstheme="minorHAnsi"/>
          <w:kern w:val="24"/>
          <w:sz w:val="22"/>
          <w:szCs w:val="22"/>
        </w:rPr>
        <w:t>,</w:t>
      </w:r>
      <w:r w:rsidRPr="00336721">
        <w:rPr>
          <w:rFonts w:asciiTheme="minorHAnsi" w:eastAsiaTheme="minorEastAsia" w:hAnsiTheme="minorHAnsi" w:cstheme="minorHAnsi"/>
          <w:kern w:val="24"/>
          <w:sz w:val="22"/>
          <w:szCs w:val="22"/>
        </w:rPr>
        <w:t xml:space="preserve"> auf Basis eines festen Liefervertrags außerhalb der Grund-</w:t>
      </w:r>
      <w:r w:rsidR="00D32AA1" w:rsidRPr="00336721">
        <w:rPr>
          <w:rFonts w:asciiTheme="minorHAnsi" w:eastAsiaTheme="minorEastAsia" w:hAnsiTheme="minorHAnsi" w:cstheme="minorHAnsi"/>
          <w:kern w:val="24"/>
          <w:sz w:val="22"/>
          <w:szCs w:val="22"/>
        </w:rPr>
        <w:t xml:space="preserve"> </w:t>
      </w:r>
      <w:r w:rsidRPr="00336721">
        <w:rPr>
          <w:rFonts w:asciiTheme="minorHAnsi" w:eastAsiaTheme="minorEastAsia" w:hAnsiTheme="minorHAnsi" w:cstheme="minorHAnsi"/>
          <w:kern w:val="24"/>
          <w:sz w:val="22"/>
          <w:szCs w:val="22"/>
        </w:rPr>
        <w:t>oder Ersatzversorgung</w:t>
      </w:r>
      <w:r w:rsidR="00D32AA1" w:rsidRPr="00336721">
        <w:rPr>
          <w:rFonts w:asciiTheme="minorHAnsi" w:eastAsiaTheme="minorEastAsia" w:hAnsiTheme="minorHAnsi" w:cstheme="minorHAnsi"/>
          <w:kern w:val="24"/>
          <w:sz w:val="22"/>
          <w:szCs w:val="22"/>
        </w:rPr>
        <w:t>, jeder sein</w:t>
      </w:r>
      <w:r w:rsidR="00336721" w:rsidRPr="00336721">
        <w:rPr>
          <w:rFonts w:asciiTheme="minorHAnsi" w:eastAsiaTheme="minorEastAsia" w:hAnsiTheme="minorHAnsi" w:cstheme="minorHAnsi"/>
          <w:kern w:val="24"/>
          <w:sz w:val="22"/>
          <w:szCs w:val="22"/>
        </w:rPr>
        <w:t xml:space="preserve">. Es gelten </w:t>
      </w:r>
      <w:r w:rsidR="00336721">
        <w:rPr>
          <w:rFonts w:asciiTheme="minorHAnsi" w:eastAsiaTheme="minorEastAsia" w:hAnsiTheme="minorHAnsi" w:cstheme="minorHAnsi"/>
          <w:kern w:val="24"/>
          <w:sz w:val="22"/>
          <w:szCs w:val="22"/>
        </w:rPr>
        <w:t xml:space="preserve">hier </w:t>
      </w:r>
      <w:r w:rsidR="00336721" w:rsidRPr="00336721">
        <w:rPr>
          <w:rFonts w:asciiTheme="minorHAnsi" w:eastAsiaTheme="minorEastAsia" w:hAnsiTheme="minorHAnsi" w:cstheme="minorHAnsi"/>
          <w:kern w:val="24"/>
          <w:sz w:val="22"/>
          <w:szCs w:val="22"/>
        </w:rPr>
        <w:t>aber andere Regeln als in der Grundversorgung</w:t>
      </w:r>
      <w:r w:rsidR="00EB566D" w:rsidRPr="00336721">
        <w:rPr>
          <w:rFonts w:asciiTheme="minorHAnsi" w:eastAsiaTheme="minorEastAsia" w:hAnsiTheme="minorHAnsi" w:cstheme="minorHAnsi"/>
          <w:kern w:val="24"/>
          <w:sz w:val="22"/>
          <w:szCs w:val="22"/>
        </w:rPr>
        <w:t>.</w:t>
      </w:r>
      <w:r w:rsidRPr="00336721">
        <w:rPr>
          <w:rFonts w:asciiTheme="minorHAnsi" w:eastAsiaTheme="minorEastAsia" w:hAnsiTheme="minorHAnsi" w:cstheme="minorHAnsi"/>
          <w:kern w:val="24"/>
          <w:sz w:val="22"/>
          <w:szCs w:val="22"/>
        </w:rPr>
        <w:t xml:space="preserve"> </w:t>
      </w:r>
    </w:p>
    <w:p w14:paraId="14C5EEDF" w14:textId="77777777" w:rsidR="000F5FDD" w:rsidRPr="00145199" w:rsidRDefault="000F5FDD" w:rsidP="000F5FDD">
      <w:pPr>
        <w:pStyle w:val="StandardWeb"/>
        <w:spacing w:before="0" w:beforeAutospacing="0" w:after="0" w:afterAutospacing="0"/>
        <w:textAlignment w:val="baseline"/>
        <w:rPr>
          <w:rFonts w:asciiTheme="minorHAnsi" w:eastAsia="+mn-ea" w:hAnsiTheme="minorHAnsi" w:cstheme="minorHAnsi"/>
          <w:b/>
          <w:bCs/>
          <w:color w:val="000000"/>
          <w:kern w:val="24"/>
          <w:sz w:val="22"/>
          <w:szCs w:val="22"/>
        </w:rPr>
      </w:pPr>
    </w:p>
    <w:p w14:paraId="55BD0DB8" w14:textId="657E69FD" w:rsidR="004060E7" w:rsidRPr="00D3539B" w:rsidRDefault="000F5FDD" w:rsidP="004060E7">
      <w:pPr>
        <w:kinsoku w:val="0"/>
        <w:overflowPunct w:val="0"/>
        <w:spacing w:after="0" w:line="240" w:lineRule="auto"/>
        <w:textAlignment w:val="baseline"/>
        <w:rPr>
          <w:rFonts w:ascii="Times New Roman" w:eastAsia="Times New Roman" w:hAnsi="Times New Roman" w:cs="Times New Roman"/>
          <w:lang w:eastAsia="de-DE"/>
        </w:rPr>
      </w:pPr>
      <w:r w:rsidRPr="00145199">
        <w:rPr>
          <w:rFonts w:eastAsia="+mn-ea" w:cstheme="minorHAnsi"/>
          <w:bCs/>
          <w:color w:val="000000"/>
          <w:kern w:val="24"/>
        </w:rPr>
        <w:t xml:space="preserve">Neben den Großen Energieerzeugern und deren Tochtergesellschaften und Beteiligungen, haben sich </w:t>
      </w:r>
      <w:r w:rsidRPr="000F5FDD">
        <w:rPr>
          <w:rFonts w:eastAsia="+mn-ea" w:cstheme="minorHAnsi"/>
          <w:bCs/>
          <w:color w:val="000000"/>
          <w:kern w:val="24"/>
        </w:rPr>
        <w:t xml:space="preserve">am Markt </w:t>
      </w:r>
      <w:r>
        <w:rPr>
          <w:rFonts w:eastAsia="+mn-ea" w:cstheme="minorHAnsi"/>
          <w:bCs/>
          <w:color w:val="000000"/>
          <w:kern w:val="24"/>
        </w:rPr>
        <w:t xml:space="preserve">vor allem Stadtwerke und Discounter etabliert. </w:t>
      </w:r>
      <w:r w:rsidR="004060E7" w:rsidRPr="00D3539B">
        <w:rPr>
          <w:rFonts w:ascii="Calibri" w:eastAsia="+mn-ea" w:hAnsi="Calibri" w:cs="Arial"/>
          <w:color w:val="000000"/>
          <w:kern w:val="24"/>
          <w:lang w:eastAsia="de-DE"/>
        </w:rPr>
        <w:t xml:space="preserve"> </w:t>
      </w:r>
    </w:p>
    <w:p w14:paraId="2BBAB358" w14:textId="68084A3C" w:rsidR="000F5FDD" w:rsidRPr="0055489A" w:rsidRDefault="00000574" w:rsidP="00D53806">
      <w:pPr>
        <w:pStyle w:val="StandardWeb"/>
        <w:numPr>
          <w:ilvl w:val="0"/>
          <w:numId w:val="1"/>
        </w:numPr>
        <w:spacing w:before="0" w:beforeAutospacing="0" w:after="0" w:afterAutospacing="0"/>
        <w:textAlignment w:val="baseline"/>
        <w:rPr>
          <w:rFonts w:asciiTheme="minorHAnsi" w:eastAsia="+mn-ea" w:hAnsiTheme="minorHAnsi" w:cstheme="minorHAnsi"/>
          <w:bCs/>
          <w:color w:val="000000"/>
          <w:kern w:val="24"/>
          <w:sz w:val="22"/>
          <w:szCs w:val="22"/>
        </w:rPr>
      </w:pPr>
      <w:r w:rsidRPr="0055489A">
        <w:rPr>
          <w:rFonts w:asciiTheme="minorHAnsi" w:eastAsia="+mn-ea" w:hAnsiTheme="minorHAnsi" w:cstheme="minorHAnsi"/>
          <w:b/>
          <w:bCs/>
          <w:color w:val="000000"/>
          <w:kern w:val="24"/>
          <w:sz w:val="22"/>
          <w:szCs w:val="22"/>
        </w:rPr>
        <w:t>Die großen Energieerzeuger</w:t>
      </w:r>
      <w:r w:rsidRPr="0055489A">
        <w:rPr>
          <w:rFonts w:asciiTheme="minorHAnsi" w:eastAsia="+mn-ea" w:hAnsiTheme="minorHAnsi" w:cstheme="minorHAnsi"/>
          <w:bCs/>
          <w:color w:val="000000"/>
          <w:kern w:val="24"/>
          <w:sz w:val="22"/>
          <w:szCs w:val="22"/>
        </w:rPr>
        <w:t xml:space="preserve"> </w:t>
      </w:r>
      <w:r w:rsidRPr="0055489A">
        <w:rPr>
          <w:rFonts w:asciiTheme="minorHAnsi" w:eastAsia="+mn-ea" w:hAnsiTheme="minorHAnsi" w:cstheme="minorHAnsi"/>
          <w:bCs/>
          <w:color w:val="000000"/>
          <w:kern w:val="24"/>
          <w:sz w:val="22"/>
          <w:szCs w:val="22"/>
        </w:rPr>
        <w:br/>
      </w:r>
      <w:r w:rsidR="00907ABF" w:rsidRPr="0055489A">
        <w:rPr>
          <w:rFonts w:asciiTheme="minorHAnsi" w:eastAsia="+mn-ea" w:hAnsiTheme="minorHAnsi" w:cstheme="minorHAnsi"/>
          <w:bCs/>
          <w:color w:val="000000"/>
          <w:kern w:val="24"/>
          <w:sz w:val="22"/>
          <w:szCs w:val="22"/>
        </w:rPr>
        <w:t xml:space="preserve">EnBW, </w:t>
      </w:r>
      <w:r w:rsidRPr="0055489A">
        <w:rPr>
          <w:rFonts w:asciiTheme="minorHAnsi" w:eastAsia="+mn-ea" w:hAnsiTheme="minorHAnsi" w:cstheme="minorHAnsi"/>
          <w:bCs/>
          <w:color w:val="000000"/>
          <w:kern w:val="24"/>
          <w:sz w:val="22"/>
          <w:szCs w:val="22"/>
        </w:rPr>
        <w:t>Vattenfall, RWE</w:t>
      </w:r>
      <w:r w:rsidR="00907ABF" w:rsidRPr="0055489A">
        <w:rPr>
          <w:rFonts w:asciiTheme="minorHAnsi" w:eastAsia="+mn-ea" w:hAnsiTheme="minorHAnsi" w:cstheme="minorHAnsi"/>
          <w:bCs/>
          <w:color w:val="000000"/>
          <w:kern w:val="24"/>
          <w:sz w:val="22"/>
          <w:szCs w:val="22"/>
        </w:rPr>
        <w:t>/</w:t>
      </w:r>
      <w:r w:rsidR="00D32AA1" w:rsidRPr="0055489A">
        <w:rPr>
          <w:rFonts w:asciiTheme="minorHAnsi" w:eastAsia="+mn-ea" w:hAnsiTheme="minorHAnsi" w:cstheme="minorHAnsi"/>
          <w:bCs/>
          <w:color w:val="000000"/>
          <w:kern w:val="24"/>
          <w:sz w:val="22"/>
          <w:szCs w:val="22"/>
        </w:rPr>
        <w:t>E-ON</w:t>
      </w:r>
      <w:r w:rsidR="00907ABF" w:rsidRPr="0055489A">
        <w:rPr>
          <w:rFonts w:asciiTheme="minorHAnsi" w:eastAsia="+mn-ea" w:hAnsiTheme="minorHAnsi" w:cstheme="minorHAnsi"/>
          <w:bCs/>
          <w:color w:val="000000"/>
          <w:kern w:val="24"/>
          <w:sz w:val="22"/>
          <w:szCs w:val="22"/>
        </w:rPr>
        <w:t>,</w:t>
      </w:r>
      <w:r w:rsidRPr="0055489A">
        <w:rPr>
          <w:rFonts w:asciiTheme="minorHAnsi" w:eastAsia="+mn-ea" w:hAnsiTheme="minorHAnsi" w:cstheme="minorHAnsi"/>
          <w:bCs/>
          <w:color w:val="000000"/>
          <w:kern w:val="24"/>
          <w:sz w:val="22"/>
          <w:szCs w:val="22"/>
        </w:rPr>
        <w:t xml:space="preserve"> EWE usw. vermarkten sich </w:t>
      </w:r>
      <w:r w:rsidR="004060E7" w:rsidRPr="0055489A">
        <w:rPr>
          <w:rFonts w:asciiTheme="minorHAnsi" w:eastAsia="+mn-ea" w:hAnsiTheme="minorHAnsi" w:cstheme="minorHAnsi"/>
          <w:bCs/>
          <w:color w:val="000000"/>
          <w:kern w:val="24"/>
          <w:sz w:val="22"/>
          <w:szCs w:val="22"/>
        </w:rPr>
        <w:t xml:space="preserve">nur teilweise </w:t>
      </w:r>
      <w:r w:rsidRPr="0055489A">
        <w:rPr>
          <w:rFonts w:asciiTheme="minorHAnsi" w:eastAsia="+mn-ea" w:hAnsiTheme="minorHAnsi" w:cstheme="minorHAnsi"/>
          <w:bCs/>
          <w:color w:val="000000"/>
          <w:kern w:val="24"/>
          <w:sz w:val="22"/>
          <w:szCs w:val="22"/>
        </w:rPr>
        <w:t xml:space="preserve">unter ihrem eigenen Namen, </w:t>
      </w:r>
      <w:r w:rsidR="004060E7" w:rsidRPr="0055489A">
        <w:rPr>
          <w:rFonts w:asciiTheme="minorHAnsi" w:eastAsia="+mn-ea" w:hAnsiTheme="minorHAnsi" w:cstheme="minorHAnsi"/>
          <w:bCs/>
          <w:color w:val="000000"/>
          <w:kern w:val="24"/>
          <w:sz w:val="22"/>
          <w:szCs w:val="22"/>
        </w:rPr>
        <w:t xml:space="preserve">sondern </w:t>
      </w:r>
      <w:r w:rsidRPr="0055489A">
        <w:rPr>
          <w:rFonts w:asciiTheme="minorHAnsi" w:eastAsia="+mn-ea" w:hAnsiTheme="minorHAnsi" w:cstheme="minorHAnsi"/>
          <w:bCs/>
          <w:color w:val="000000"/>
          <w:kern w:val="24"/>
          <w:sz w:val="22"/>
          <w:szCs w:val="22"/>
        </w:rPr>
        <w:t xml:space="preserve">versteckt </w:t>
      </w:r>
      <w:r w:rsidR="004060E7" w:rsidRPr="0055489A">
        <w:rPr>
          <w:rFonts w:asciiTheme="minorHAnsi" w:eastAsia="+mn-ea" w:hAnsiTheme="minorHAnsi" w:cstheme="minorHAnsi"/>
          <w:bCs/>
          <w:color w:val="000000"/>
          <w:kern w:val="24"/>
          <w:sz w:val="22"/>
          <w:szCs w:val="22"/>
        </w:rPr>
        <w:t xml:space="preserve">auch </w:t>
      </w:r>
      <w:r w:rsidRPr="0055489A">
        <w:rPr>
          <w:rFonts w:asciiTheme="minorHAnsi" w:eastAsia="+mn-ea" w:hAnsiTheme="minorHAnsi" w:cstheme="minorHAnsi"/>
          <w:bCs/>
          <w:color w:val="000000"/>
          <w:kern w:val="24"/>
          <w:sz w:val="22"/>
          <w:szCs w:val="22"/>
        </w:rPr>
        <w:t xml:space="preserve">in </w:t>
      </w:r>
      <w:r w:rsidR="004060E7" w:rsidRPr="0055489A">
        <w:rPr>
          <w:rFonts w:asciiTheme="minorHAnsi" w:eastAsia="+mn-ea" w:hAnsiTheme="minorHAnsi" w:cstheme="minorHAnsi"/>
          <w:bCs/>
          <w:color w:val="000000"/>
          <w:kern w:val="24"/>
          <w:sz w:val="22"/>
          <w:szCs w:val="22"/>
        </w:rPr>
        <w:t>B</w:t>
      </w:r>
      <w:r w:rsidR="000F5FDD" w:rsidRPr="0055489A">
        <w:rPr>
          <w:rFonts w:asciiTheme="minorHAnsi" w:eastAsia="+mn-ea" w:hAnsiTheme="minorHAnsi" w:cstheme="minorHAnsi"/>
          <w:bCs/>
          <w:color w:val="000000"/>
          <w:kern w:val="24"/>
          <w:sz w:val="22"/>
          <w:szCs w:val="22"/>
        </w:rPr>
        <w:t>eteiligungen an Firmen und Stadtwerken</w:t>
      </w:r>
      <w:r w:rsidRPr="0055489A">
        <w:rPr>
          <w:rFonts w:asciiTheme="minorHAnsi" w:eastAsia="+mn-ea" w:hAnsiTheme="minorHAnsi" w:cstheme="minorHAnsi"/>
          <w:bCs/>
          <w:color w:val="000000"/>
          <w:kern w:val="24"/>
          <w:sz w:val="22"/>
          <w:szCs w:val="22"/>
        </w:rPr>
        <w:t xml:space="preserve"> oder als 100%ige Tochtergesellschaften</w:t>
      </w:r>
      <w:r w:rsidR="004060E7" w:rsidRPr="0055489A">
        <w:rPr>
          <w:rFonts w:asciiTheme="minorHAnsi" w:eastAsia="+mn-ea" w:hAnsiTheme="minorHAnsi" w:cstheme="minorHAnsi"/>
          <w:bCs/>
          <w:color w:val="000000"/>
          <w:kern w:val="24"/>
          <w:sz w:val="22"/>
          <w:szCs w:val="22"/>
        </w:rPr>
        <w:t>, auch Edeldiscounter genannt wie:</w:t>
      </w:r>
      <w:r w:rsidR="000F5FDD" w:rsidRPr="0055489A">
        <w:rPr>
          <w:rFonts w:asciiTheme="minorHAnsi" w:eastAsia="+mn-ea" w:hAnsiTheme="minorHAnsi" w:cstheme="minorHAnsi"/>
          <w:bCs/>
          <w:color w:val="000000"/>
          <w:kern w:val="24"/>
          <w:sz w:val="22"/>
          <w:szCs w:val="22"/>
        </w:rPr>
        <w:br/>
      </w:r>
      <w:proofErr w:type="gramStart"/>
      <w:r w:rsidR="004060E7" w:rsidRPr="0055489A">
        <w:rPr>
          <w:rFonts w:ascii="Calibri" w:eastAsia="+mn-ea" w:hAnsi="Calibri" w:cs="Arial"/>
          <w:color w:val="000000"/>
          <w:kern w:val="24"/>
          <w:sz w:val="22"/>
          <w:szCs w:val="22"/>
        </w:rPr>
        <w:t xml:space="preserve">-  </w:t>
      </w:r>
      <w:proofErr w:type="spellStart"/>
      <w:r w:rsidR="004060E7" w:rsidRPr="0055489A">
        <w:rPr>
          <w:rFonts w:ascii="Calibri" w:eastAsia="+mn-ea" w:hAnsi="Calibri" w:cs="Arial"/>
          <w:bCs/>
          <w:color w:val="000000"/>
          <w:kern w:val="24"/>
          <w:sz w:val="22"/>
          <w:szCs w:val="22"/>
        </w:rPr>
        <w:t>Epimo</w:t>
      </w:r>
      <w:proofErr w:type="spellEnd"/>
      <w:proofErr w:type="gramEnd"/>
      <w:r w:rsidR="004060E7" w:rsidRPr="0055489A">
        <w:rPr>
          <w:rFonts w:ascii="Calibri" w:eastAsia="+mn-ea" w:hAnsi="Calibri" w:cs="Arial"/>
          <w:color w:val="000000"/>
          <w:kern w:val="24"/>
          <w:sz w:val="22"/>
          <w:szCs w:val="22"/>
        </w:rPr>
        <w:t xml:space="preserve"> </w:t>
      </w:r>
      <w:r w:rsidR="00336721" w:rsidRPr="0055489A">
        <w:rPr>
          <w:rFonts w:ascii="Calibri" w:eastAsia="+mn-ea" w:hAnsi="Calibri" w:cs="Arial"/>
          <w:color w:val="000000"/>
          <w:kern w:val="24"/>
          <w:sz w:val="22"/>
          <w:szCs w:val="22"/>
        </w:rPr>
        <w:t>und</w:t>
      </w:r>
      <w:r w:rsidR="004060E7" w:rsidRPr="0055489A">
        <w:rPr>
          <w:rFonts w:ascii="Calibri" w:eastAsia="+mn-ea" w:hAnsi="Calibri" w:cs="Arial"/>
          <w:color w:val="000000"/>
          <w:kern w:val="24"/>
          <w:sz w:val="22"/>
          <w:szCs w:val="22"/>
        </w:rPr>
        <w:t xml:space="preserve"> </w:t>
      </w:r>
      <w:proofErr w:type="spellStart"/>
      <w:r w:rsidR="004060E7" w:rsidRPr="0055489A">
        <w:rPr>
          <w:rFonts w:ascii="Calibri" w:eastAsia="+mn-ea" w:hAnsi="Calibri" w:cs="Arial"/>
          <w:bCs/>
          <w:color w:val="000000"/>
          <w:kern w:val="24"/>
          <w:sz w:val="22"/>
          <w:szCs w:val="22"/>
        </w:rPr>
        <w:t>EwieEinfach</w:t>
      </w:r>
      <w:proofErr w:type="spellEnd"/>
      <w:r w:rsidR="004060E7" w:rsidRPr="0055489A">
        <w:rPr>
          <w:rFonts w:ascii="Calibri" w:eastAsia="+mn-ea" w:hAnsi="Calibri" w:cs="Arial"/>
          <w:bCs/>
          <w:color w:val="000000"/>
          <w:kern w:val="24"/>
          <w:sz w:val="22"/>
          <w:szCs w:val="22"/>
        </w:rPr>
        <w:t xml:space="preserve"> </w:t>
      </w:r>
      <w:r w:rsidR="004060E7" w:rsidRPr="0055489A">
        <w:rPr>
          <w:rFonts w:ascii="Calibri" w:eastAsia="+mn-ea" w:hAnsi="Calibri" w:cs="Arial"/>
          <w:color w:val="000000"/>
          <w:kern w:val="24"/>
          <w:sz w:val="22"/>
          <w:szCs w:val="22"/>
        </w:rPr>
        <w:t xml:space="preserve">(zu 100 Prozent im Besitz von E.ON), </w:t>
      </w:r>
      <w:r w:rsidR="004060E7" w:rsidRPr="0055489A">
        <w:rPr>
          <w:rFonts w:ascii="Calibri" w:eastAsia="+mn-ea" w:hAnsi="Calibri" w:cs="Arial"/>
          <w:color w:val="000000"/>
          <w:kern w:val="24"/>
          <w:sz w:val="22"/>
          <w:szCs w:val="22"/>
        </w:rPr>
        <w:br/>
        <w:t xml:space="preserve">-  </w:t>
      </w:r>
      <w:proofErr w:type="spellStart"/>
      <w:r w:rsidR="004060E7" w:rsidRPr="0055489A">
        <w:rPr>
          <w:rFonts w:ascii="Calibri" w:eastAsia="+mn-ea" w:hAnsi="Calibri" w:cs="Arial"/>
          <w:bCs/>
          <w:color w:val="000000"/>
          <w:kern w:val="24"/>
          <w:sz w:val="22"/>
          <w:szCs w:val="22"/>
        </w:rPr>
        <w:t>NaturEnergiePlus</w:t>
      </w:r>
      <w:proofErr w:type="spellEnd"/>
      <w:r w:rsidR="004060E7" w:rsidRPr="0055489A">
        <w:rPr>
          <w:rFonts w:ascii="Calibri" w:eastAsia="+mn-ea" w:hAnsi="Calibri" w:cs="Arial"/>
          <w:bCs/>
          <w:color w:val="000000"/>
          <w:kern w:val="24"/>
          <w:sz w:val="22"/>
          <w:szCs w:val="22"/>
        </w:rPr>
        <w:t xml:space="preserve"> </w:t>
      </w:r>
      <w:r w:rsidR="004060E7" w:rsidRPr="0055489A">
        <w:rPr>
          <w:rFonts w:ascii="Calibri" w:eastAsia="+mn-ea" w:hAnsi="Calibri" w:cs="Arial"/>
          <w:color w:val="000000"/>
          <w:kern w:val="24"/>
          <w:sz w:val="22"/>
          <w:szCs w:val="22"/>
        </w:rPr>
        <w:t>und</w:t>
      </w:r>
      <w:r w:rsidR="004060E7" w:rsidRPr="0055489A">
        <w:rPr>
          <w:rFonts w:ascii="Calibri" w:eastAsia="+mn-ea" w:hAnsi="Calibri" w:cs="Arial"/>
          <w:bCs/>
          <w:color w:val="000000"/>
          <w:kern w:val="24"/>
          <w:sz w:val="22"/>
          <w:szCs w:val="22"/>
        </w:rPr>
        <w:t xml:space="preserve"> Yello Strom </w:t>
      </w:r>
      <w:r w:rsidR="004060E7" w:rsidRPr="0055489A">
        <w:rPr>
          <w:rFonts w:ascii="Calibri" w:eastAsia="+mn-ea" w:hAnsi="Calibri" w:cs="Arial"/>
          <w:color w:val="000000"/>
          <w:kern w:val="24"/>
          <w:sz w:val="22"/>
          <w:szCs w:val="22"/>
        </w:rPr>
        <w:t>(zu 100 Prozent im Besitz der EnBW).</w:t>
      </w:r>
      <w:r w:rsidR="0055489A" w:rsidRPr="0055489A">
        <w:rPr>
          <w:rFonts w:ascii="Calibri" w:eastAsia="+mn-ea" w:hAnsi="Calibri" w:cs="Arial"/>
          <w:color w:val="000000"/>
          <w:kern w:val="24"/>
          <w:sz w:val="22"/>
          <w:szCs w:val="22"/>
        </w:rPr>
        <w:br/>
      </w:r>
      <w:r w:rsidR="000F5FDD" w:rsidRPr="0055489A">
        <w:rPr>
          <w:rFonts w:asciiTheme="minorHAnsi" w:eastAsia="+mn-ea" w:hAnsiTheme="minorHAnsi" w:cstheme="minorHAnsi"/>
          <w:bCs/>
          <w:color w:val="000000"/>
          <w:kern w:val="24"/>
          <w:sz w:val="22"/>
          <w:szCs w:val="22"/>
        </w:rPr>
        <w:t xml:space="preserve">Sie </w:t>
      </w:r>
      <w:r w:rsidR="004060E7" w:rsidRPr="0055489A">
        <w:rPr>
          <w:rFonts w:asciiTheme="minorHAnsi" w:eastAsia="+mn-ea" w:hAnsiTheme="minorHAnsi" w:cstheme="minorHAnsi"/>
          <w:bCs/>
          <w:color w:val="000000"/>
          <w:kern w:val="24"/>
          <w:sz w:val="22"/>
          <w:szCs w:val="22"/>
        </w:rPr>
        <w:t>verhelf</w:t>
      </w:r>
      <w:r w:rsidR="000F5FDD" w:rsidRPr="0055489A">
        <w:rPr>
          <w:rFonts w:asciiTheme="minorHAnsi" w:eastAsia="+mn-ea" w:hAnsiTheme="minorHAnsi" w:cstheme="minorHAnsi"/>
          <w:bCs/>
          <w:color w:val="000000"/>
          <w:kern w:val="24"/>
          <w:sz w:val="22"/>
          <w:szCs w:val="22"/>
        </w:rPr>
        <w:t xml:space="preserve">en den </w:t>
      </w:r>
      <w:r w:rsidR="004060E7" w:rsidRPr="0055489A">
        <w:rPr>
          <w:rFonts w:asciiTheme="minorHAnsi" w:eastAsia="+mn-ea" w:hAnsiTheme="minorHAnsi" w:cstheme="minorHAnsi"/>
          <w:bCs/>
          <w:color w:val="000000"/>
          <w:kern w:val="24"/>
          <w:sz w:val="22"/>
          <w:szCs w:val="22"/>
        </w:rPr>
        <w:t>g</w:t>
      </w:r>
      <w:r w:rsidR="000F5FDD" w:rsidRPr="0055489A">
        <w:rPr>
          <w:rFonts w:asciiTheme="minorHAnsi" w:eastAsia="+mn-ea" w:hAnsiTheme="minorHAnsi" w:cstheme="minorHAnsi"/>
          <w:bCs/>
          <w:color w:val="000000"/>
          <w:kern w:val="24"/>
          <w:sz w:val="22"/>
          <w:szCs w:val="22"/>
        </w:rPr>
        <w:t xml:space="preserve">roßen Energieerzeugern zu </w:t>
      </w:r>
      <w:r w:rsidR="004060E7" w:rsidRPr="0055489A">
        <w:rPr>
          <w:rFonts w:asciiTheme="minorHAnsi" w:eastAsia="+mn-ea" w:hAnsiTheme="minorHAnsi" w:cstheme="minorHAnsi"/>
          <w:bCs/>
          <w:color w:val="000000"/>
          <w:kern w:val="24"/>
          <w:sz w:val="22"/>
          <w:szCs w:val="22"/>
        </w:rPr>
        <w:t xml:space="preserve">noch </w:t>
      </w:r>
      <w:r w:rsidR="000F5FDD" w:rsidRPr="0055489A">
        <w:rPr>
          <w:rFonts w:asciiTheme="minorHAnsi" w:eastAsia="+mn-ea" w:hAnsiTheme="minorHAnsi" w:cstheme="minorHAnsi"/>
          <w:bCs/>
          <w:color w:val="000000"/>
          <w:kern w:val="24"/>
          <w:sz w:val="22"/>
          <w:szCs w:val="22"/>
        </w:rPr>
        <w:t>mehr Marktpräsenz und Einfluss.</w:t>
      </w:r>
    </w:p>
    <w:p w14:paraId="07D49C79" w14:textId="77777777" w:rsidR="000F5FDD" w:rsidRPr="0055489A" w:rsidRDefault="00000574" w:rsidP="0055489A">
      <w:pPr>
        <w:pStyle w:val="StandardWeb"/>
        <w:numPr>
          <w:ilvl w:val="0"/>
          <w:numId w:val="1"/>
        </w:numPr>
        <w:spacing w:before="0" w:beforeAutospacing="0" w:after="0" w:afterAutospacing="0"/>
        <w:textAlignment w:val="baseline"/>
        <w:rPr>
          <w:rFonts w:asciiTheme="minorHAnsi" w:hAnsiTheme="minorHAnsi" w:cstheme="minorHAnsi"/>
          <w:sz w:val="22"/>
          <w:szCs w:val="22"/>
        </w:rPr>
      </w:pPr>
      <w:r w:rsidRPr="0055489A">
        <w:rPr>
          <w:rFonts w:asciiTheme="minorHAnsi" w:eastAsia="+mn-ea" w:hAnsiTheme="minorHAnsi" w:cstheme="minorHAnsi"/>
          <w:b/>
          <w:bCs/>
          <w:color w:val="000000"/>
          <w:kern w:val="24"/>
          <w:sz w:val="22"/>
          <w:szCs w:val="22"/>
        </w:rPr>
        <w:t>Stadtwerke</w:t>
      </w:r>
      <w:r w:rsidRPr="0055489A">
        <w:rPr>
          <w:rFonts w:asciiTheme="minorHAnsi" w:eastAsia="+mn-ea" w:hAnsiTheme="minorHAnsi" w:cstheme="minorHAnsi"/>
          <w:b/>
          <w:bCs/>
          <w:color w:val="000000"/>
          <w:kern w:val="24"/>
          <w:sz w:val="22"/>
          <w:szCs w:val="22"/>
        </w:rPr>
        <w:br/>
      </w:r>
      <w:proofErr w:type="spellStart"/>
      <w:r w:rsidRPr="0055489A">
        <w:rPr>
          <w:rFonts w:asciiTheme="minorHAnsi" w:eastAsia="+mn-ea" w:hAnsiTheme="minorHAnsi" w:cstheme="minorHAnsi"/>
          <w:bCs/>
          <w:color w:val="000000"/>
          <w:kern w:val="24"/>
          <w:sz w:val="22"/>
          <w:szCs w:val="22"/>
        </w:rPr>
        <w:t>Stadtwerke</w:t>
      </w:r>
      <w:proofErr w:type="spellEnd"/>
      <w:r w:rsidRPr="0055489A">
        <w:rPr>
          <w:rFonts w:asciiTheme="minorHAnsi" w:eastAsia="+mn-ea" w:hAnsiTheme="minorHAnsi" w:cstheme="minorHAnsi"/>
          <w:bCs/>
          <w:color w:val="000000"/>
          <w:kern w:val="24"/>
          <w:sz w:val="22"/>
          <w:szCs w:val="22"/>
        </w:rPr>
        <w:t xml:space="preserve"> betreiben selbst kleine Energieerzeugungsanlagen oder versprechen sich </w:t>
      </w:r>
      <w:r w:rsidR="00622E52" w:rsidRPr="0055489A">
        <w:rPr>
          <w:rFonts w:asciiTheme="minorHAnsi" w:eastAsia="+mn-ea" w:hAnsiTheme="minorHAnsi" w:cstheme="minorHAnsi"/>
          <w:bCs/>
          <w:color w:val="000000"/>
          <w:kern w:val="24"/>
          <w:sz w:val="22"/>
          <w:szCs w:val="22"/>
        </w:rPr>
        <w:t xml:space="preserve">durch </w:t>
      </w:r>
      <w:r w:rsidRPr="0055489A">
        <w:rPr>
          <w:rFonts w:asciiTheme="minorHAnsi" w:eastAsia="+mn-ea" w:hAnsiTheme="minorHAnsi" w:cstheme="minorHAnsi"/>
          <w:bCs/>
          <w:color w:val="000000"/>
          <w:kern w:val="24"/>
          <w:sz w:val="22"/>
          <w:szCs w:val="22"/>
        </w:rPr>
        <w:t xml:space="preserve">Erfolge am Energiemarkt </w:t>
      </w:r>
      <w:r w:rsidR="00622E52" w:rsidRPr="0055489A">
        <w:rPr>
          <w:rFonts w:asciiTheme="minorHAnsi" w:eastAsia="+mn-ea" w:hAnsiTheme="minorHAnsi" w:cstheme="minorHAnsi"/>
          <w:bCs/>
          <w:color w:val="000000"/>
          <w:kern w:val="24"/>
          <w:sz w:val="22"/>
          <w:szCs w:val="22"/>
        </w:rPr>
        <w:t xml:space="preserve">Einnahmen für die Stadtkasse (meist auch im Besitz des Stadtnetzes) </w:t>
      </w:r>
    </w:p>
    <w:p w14:paraId="464D06D0" w14:textId="77777777" w:rsidR="00145199" w:rsidRPr="0055489A" w:rsidRDefault="000F5FDD" w:rsidP="0055489A">
      <w:pPr>
        <w:pStyle w:val="Listenabsatz"/>
        <w:numPr>
          <w:ilvl w:val="0"/>
          <w:numId w:val="1"/>
        </w:numPr>
        <w:kinsoku w:val="0"/>
        <w:overflowPunct w:val="0"/>
        <w:spacing w:after="0" w:line="240" w:lineRule="auto"/>
        <w:textAlignment w:val="baseline"/>
        <w:rPr>
          <w:rFonts w:eastAsia="Times New Roman" w:cstheme="minorHAnsi"/>
          <w:lang w:eastAsia="de-DE"/>
        </w:rPr>
      </w:pPr>
      <w:r w:rsidRPr="0055489A">
        <w:rPr>
          <w:rFonts w:ascii="Calibri" w:eastAsia="+mn-ea" w:hAnsi="Calibri" w:cs="Arial"/>
          <w:b/>
          <w:bCs/>
          <w:color w:val="000000"/>
          <w:kern w:val="24"/>
          <w:lang w:eastAsia="de-DE"/>
        </w:rPr>
        <w:t>Energiediscounter</w:t>
      </w:r>
      <w:r w:rsidRPr="0055489A">
        <w:rPr>
          <w:rFonts w:ascii="Calibri" w:eastAsia="+mn-ea" w:hAnsi="Calibri" w:cs="Arial"/>
          <w:color w:val="000000"/>
          <w:kern w:val="24"/>
          <w:lang w:eastAsia="de-DE"/>
        </w:rPr>
        <w:t>,</w:t>
      </w:r>
      <w:r w:rsidR="00000574" w:rsidRPr="0055489A">
        <w:rPr>
          <w:rFonts w:ascii="Calibri" w:eastAsia="+mn-ea" w:hAnsi="Calibri" w:cs="Arial"/>
          <w:color w:val="000000"/>
          <w:kern w:val="24"/>
          <w:lang w:eastAsia="de-DE"/>
        </w:rPr>
        <w:t xml:space="preserve"> </w:t>
      </w:r>
      <w:r w:rsidR="00145199" w:rsidRPr="0055489A">
        <w:rPr>
          <w:rFonts w:ascii="Calibri" w:eastAsia="+mn-ea" w:hAnsi="Calibri" w:cs="Arial"/>
          <w:color w:val="000000"/>
          <w:kern w:val="24"/>
          <w:lang w:eastAsia="de-DE"/>
        </w:rPr>
        <w:br/>
      </w:r>
      <w:r w:rsidRPr="0055489A">
        <w:rPr>
          <w:rFonts w:ascii="Calibri" w:eastAsia="+mn-ea" w:hAnsi="Calibri" w:cs="Arial"/>
          <w:color w:val="000000"/>
          <w:kern w:val="24"/>
          <w:lang w:eastAsia="de-DE"/>
        </w:rPr>
        <w:t xml:space="preserve">auch Billigstromanbieter genannt, </w:t>
      </w:r>
      <w:r w:rsidR="00000574" w:rsidRPr="0055489A">
        <w:rPr>
          <w:rFonts w:ascii="Calibri" w:eastAsia="+mn-ea" w:hAnsi="Calibri" w:cs="Arial"/>
          <w:color w:val="000000"/>
          <w:kern w:val="24"/>
          <w:lang w:eastAsia="de-DE"/>
        </w:rPr>
        <w:t>sind</w:t>
      </w:r>
      <w:r w:rsidRPr="0055489A">
        <w:rPr>
          <w:rFonts w:ascii="Calibri" w:eastAsia="+mn-ea" w:hAnsi="Calibri" w:cs="Arial"/>
          <w:color w:val="000000"/>
          <w:kern w:val="24"/>
          <w:lang w:eastAsia="de-DE"/>
        </w:rPr>
        <w:t xml:space="preserve"> Unternehmen</w:t>
      </w:r>
      <w:r w:rsidR="004060E7" w:rsidRPr="0055489A">
        <w:rPr>
          <w:rFonts w:ascii="Calibri" w:eastAsia="+mn-ea" w:hAnsi="Calibri" w:cs="Arial"/>
          <w:color w:val="000000"/>
          <w:kern w:val="24"/>
          <w:lang w:eastAsia="de-DE"/>
        </w:rPr>
        <w:t>,</w:t>
      </w:r>
      <w:r w:rsidR="00000574" w:rsidRPr="0055489A">
        <w:rPr>
          <w:rFonts w:ascii="Calibri" w:eastAsia="+mn-ea" w:hAnsi="Calibri" w:cs="Arial"/>
          <w:color w:val="000000"/>
          <w:kern w:val="24"/>
          <w:lang w:eastAsia="de-DE"/>
        </w:rPr>
        <w:t xml:space="preserve"> die reinen Handel treiben</w:t>
      </w:r>
      <w:r w:rsidRPr="0055489A">
        <w:rPr>
          <w:rFonts w:ascii="Calibri" w:eastAsia="+mn-ea" w:hAnsi="Calibri" w:cs="Arial"/>
          <w:color w:val="000000"/>
          <w:kern w:val="24"/>
          <w:lang w:eastAsia="de-DE"/>
        </w:rPr>
        <w:t xml:space="preserve">, </w:t>
      </w:r>
      <w:r w:rsidR="00000574" w:rsidRPr="0055489A">
        <w:rPr>
          <w:rFonts w:ascii="Calibri" w:eastAsia="+mn-ea" w:hAnsi="Calibri" w:cs="Arial"/>
          <w:color w:val="000000"/>
          <w:kern w:val="24"/>
          <w:lang w:eastAsia="de-DE"/>
        </w:rPr>
        <w:t xml:space="preserve">und </w:t>
      </w:r>
      <w:r w:rsidR="004060E7" w:rsidRPr="0055489A">
        <w:rPr>
          <w:rFonts w:ascii="Calibri" w:eastAsia="+mn-ea" w:hAnsi="Calibri" w:cs="Arial"/>
          <w:color w:val="000000"/>
          <w:kern w:val="24"/>
          <w:lang w:eastAsia="de-DE"/>
        </w:rPr>
        <w:t xml:space="preserve">ausschließlich </w:t>
      </w:r>
      <w:r w:rsidR="00000574" w:rsidRPr="0055489A">
        <w:rPr>
          <w:rFonts w:ascii="Calibri" w:eastAsia="+mn-ea" w:hAnsi="Calibri" w:cs="Arial"/>
          <w:color w:val="000000"/>
          <w:kern w:val="24"/>
          <w:lang w:eastAsia="de-DE"/>
        </w:rPr>
        <w:t xml:space="preserve">vom Profitdenken gesteuert sind. </w:t>
      </w:r>
      <w:r w:rsidR="004060E7" w:rsidRPr="0055489A">
        <w:rPr>
          <w:rFonts w:ascii="Calibri" w:eastAsia="+mn-ea" w:hAnsi="Calibri" w:cs="Arial"/>
          <w:color w:val="000000"/>
          <w:kern w:val="24"/>
          <w:lang w:eastAsia="de-DE"/>
        </w:rPr>
        <w:t xml:space="preserve">Sie bieten </w:t>
      </w:r>
      <w:r w:rsidRPr="0055489A">
        <w:rPr>
          <w:rFonts w:ascii="Calibri" w:eastAsia="+mn-ea" w:hAnsi="Calibri" w:cs="Arial"/>
          <w:color w:val="000000"/>
          <w:kern w:val="24"/>
          <w:lang w:eastAsia="de-DE"/>
        </w:rPr>
        <w:t>vermeintlich oder tatsächlich zu vergleichsweise günstigen Preisen Strom und/oder Gas an.</w:t>
      </w:r>
      <w:r w:rsidR="00145199" w:rsidRPr="0055489A">
        <w:rPr>
          <w:rFonts w:ascii="Calibri" w:eastAsia="+mn-ea" w:hAnsi="Calibri" w:cs="Arial"/>
          <w:color w:val="000000"/>
          <w:kern w:val="24"/>
          <w:lang w:eastAsia="de-DE"/>
        </w:rPr>
        <w:br/>
      </w:r>
      <w:r w:rsidRPr="0055489A">
        <w:rPr>
          <w:rFonts w:ascii="Calibri" w:eastAsia="+mn-ea" w:hAnsi="Calibri" w:cs="Arial"/>
          <w:color w:val="000000"/>
          <w:kern w:val="24"/>
          <w:lang w:eastAsia="de-DE"/>
        </w:rPr>
        <w:t>Nachdem die Kunden durch die günstigen Preise unter Vertrag gebracht wurden, werden oft mittelfristig die Preise wieder erhöht. Dieses zum Teil mit umstrittenen Methoden wie täuschenden Erklärungen (Preisanpassung getarnt als Infobrief) oder Versuche die Zahlung von Treueboni zu umgehen.</w:t>
      </w:r>
      <w:r w:rsidRPr="0055489A">
        <w:rPr>
          <w:rFonts w:ascii="Calibri" w:eastAsia="+mn-ea" w:hAnsi="Calibri" w:cs="Arial"/>
          <w:color w:val="000000"/>
          <w:kern w:val="24"/>
          <w:lang w:eastAsia="de-DE"/>
        </w:rPr>
        <w:br/>
      </w:r>
      <w:bookmarkStart w:id="0" w:name="_Hlk24272046"/>
    </w:p>
    <w:p w14:paraId="3247D213" w14:textId="39ECA399" w:rsidR="00510EFE" w:rsidRPr="0055489A" w:rsidRDefault="00D32AA1" w:rsidP="0055489A">
      <w:pPr>
        <w:kinsoku w:val="0"/>
        <w:overflowPunct w:val="0"/>
        <w:spacing w:after="0" w:line="240" w:lineRule="auto"/>
        <w:textAlignment w:val="baseline"/>
        <w:rPr>
          <w:rFonts w:eastAsia="Times New Roman" w:cstheme="minorHAnsi"/>
          <w:lang w:eastAsia="de-DE"/>
        </w:rPr>
      </w:pPr>
      <w:r w:rsidRPr="0055489A">
        <w:rPr>
          <w:rFonts w:eastAsiaTheme="minorEastAsia" w:cstheme="minorHAnsi"/>
          <w:b/>
          <w:bCs/>
          <w:color w:val="000000" w:themeColor="text1"/>
          <w:kern w:val="24"/>
          <w:lang w:eastAsia="de-DE"/>
        </w:rPr>
        <w:t xml:space="preserve">2. </w:t>
      </w:r>
      <w:r w:rsidR="00510EFE" w:rsidRPr="0055489A">
        <w:rPr>
          <w:rFonts w:eastAsiaTheme="minorEastAsia" w:cstheme="minorHAnsi"/>
          <w:b/>
          <w:bCs/>
          <w:color w:val="000000" w:themeColor="text1"/>
          <w:kern w:val="24"/>
          <w:lang w:eastAsia="de-DE"/>
        </w:rPr>
        <w:t>Was ist ein Liefervertrag außerhalb der Grundversorgung?</w:t>
      </w:r>
      <w:bookmarkEnd w:id="0"/>
    </w:p>
    <w:p w14:paraId="0852FA43" w14:textId="77777777" w:rsidR="00510EFE" w:rsidRPr="0055489A" w:rsidRDefault="00510EFE" w:rsidP="0055489A">
      <w:pPr>
        <w:spacing w:after="0" w:line="240" w:lineRule="auto"/>
        <w:rPr>
          <w:rFonts w:eastAsiaTheme="minorEastAsia" w:cstheme="minorHAnsi"/>
          <w:color w:val="000000" w:themeColor="text1"/>
          <w:kern w:val="24"/>
          <w:lang w:eastAsia="de-DE"/>
        </w:rPr>
      </w:pPr>
    </w:p>
    <w:p w14:paraId="04B86E91" w14:textId="77777777" w:rsidR="0055489A" w:rsidRDefault="00510EFE" w:rsidP="0055489A">
      <w:pPr>
        <w:spacing w:after="0" w:line="240" w:lineRule="auto"/>
        <w:rPr>
          <w:rFonts w:eastAsiaTheme="minorEastAsia" w:cstheme="minorHAnsi"/>
          <w:color w:val="000000" w:themeColor="text1"/>
          <w:kern w:val="24"/>
          <w:lang w:eastAsia="de-DE"/>
        </w:rPr>
      </w:pPr>
      <w:r w:rsidRPr="0055489A">
        <w:rPr>
          <w:rFonts w:eastAsiaTheme="minorEastAsia" w:cstheme="minorHAnsi"/>
          <w:color w:val="000000" w:themeColor="text1"/>
          <w:kern w:val="24"/>
          <w:lang w:eastAsia="de-DE"/>
        </w:rPr>
        <w:t>Alle Haushaltskunden, die nicht grund- oder ersatzversorgt werden, haben einen Liefervertrag außerhalb der Grundversorgung. Er muss den Vorgaben des § 41 EnWG entsprechen und Bestimmungen enthalten über:</w:t>
      </w:r>
    </w:p>
    <w:p w14:paraId="50F50525" w14:textId="77777777" w:rsidR="0055489A" w:rsidRPr="0055489A" w:rsidRDefault="00510EFE" w:rsidP="005A0657">
      <w:pPr>
        <w:pStyle w:val="Listenabsatz"/>
        <w:numPr>
          <w:ilvl w:val="0"/>
          <w:numId w:val="3"/>
        </w:numPr>
        <w:spacing w:after="0" w:line="240" w:lineRule="auto"/>
        <w:rPr>
          <w:rFonts w:eastAsia="Times New Roman" w:cstheme="minorHAnsi"/>
          <w:lang w:eastAsia="de-DE"/>
        </w:rPr>
      </w:pPr>
      <w:r w:rsidRPr="0055489A">
        <w:rPr>
          <w:rFonts w:eastAsiaTheme="minorEastAsia" w:cstheme="minorHAnsi"/>
          <w:color w:val="000000" w:themeColor="text1"/>
          <w:kern w:val="24"/>
          <w:lang w:eastAsia="de-DE"/>
        </w:rPr>
        <w:t>die Vertragsdauer, die Preisanpassung, den Kündigungstermin und die Kündigungsfristen sowie das Rücktrittsrecht des Kunden,</w:t>
      </w:r>
    </w:p>
    <w:p w14:paraId="1CF8633A" w14:textId="77777777" w:rsidR="0055489A" w:rsidRPr="0055489A" w:rsidRDefault="00510EFE" w:rsidP="00910CCF">
      <w:pPr>
        <w:pStyle w:val="Listenabsatz"/>
        <w:numPr>
          <w:ilvl w:val="0"/>
          <w:numId w:val="3"/>
        </w:numPr>
        <w:spacing w:after="0" w:line="240" w:lineRule="auto"/>
        <w:rPr>
          <w:rFonts w:eastAsia="Times New Roman" w:cstheme="minorHAnsi"/>
          <w:lang w:eastAsia="de-DE"/>
        </w:rPr>
      </w:pPr>
      <w:r w:rsidRPr="0055489A">
        <w:rPr>
          <w:rFonts w:eastAsiaTheme="minorEastAsia" w:cstheme="minorHAnsi"/>
          <w:color w:val="000000" w:themeColor="text1"/>
          <w:kern w:val="24"/>
          <w:lang w:eastAsia="de-DE"/>
        </w:rPr>
        <w:t>zu erbringende Leistungen, die Zahlungsweise und verschiedene Regelungen,</w:t>
      </w:r>
    </w:p>
    <w:p w14:paraId="042905AA" w14:textId="77777777" w:rsidR="0055489A" w:rsidRPr="0055489A" w:rsidRDefault="00510EFE" w:rsidP="00910CCF">
      <w:pPr>
        <w:pStyle w:val="Listenabsatz"/>
        <w:numPr>
          <w:ilvl w:val="0"/>
          <w:numId w:val="3"/>
        </w:numPr>
        <w:spacing w:after="0" w:line="240" w:lineRule="auto"/>
        <w:rPr>
          <w:rFonts w:eastAsia="Times New Roman" w:cstheme="minorHAnsi"/>
          <w:lang w:eastAsia="de-DE"/>
        </w:rPr>
      </w:pPr>
      <w:r w:rsidRPr="0055489A">
        <w:rPr>
          <w:rFonts w:eastAsiaTheme="minorEastAsia" w:cstheme="minorHAnsi"/>
          <w:color w:val="000000" w:themeColor="text1"/>
          <w:kern w:val="24"/>
          <w:lang w:eastAsia="de-DE"/>
        </w:rPr>
        <w:t>Informationen über die Rechte der Haushaltskunden im Hinblick auf Streitbeilegungsverfahren, die ihnen im Streitfall zur Verfügung stehen</w:t>
      </w:r>
      <w:r w:rsidR="0055489A">
        <w:rPr>
          <w:rFonts w:eastAsiaTheme="minorEastAsia" w:cstheme="minorHAnsi"/>
          <w:color w:val="000000" w:themeColor="text1"/>
          <w:kern w:val="24"/>
          <w:lang w:eastAsia="de-DE"/>
        </w:rPr>
        <w:t xml:space="preserve"> und die</w:t>
      </w:r>
      <w:r w:rsidRPr="0055489A">
        <w:rPr>
          <w:rFonts w:eastAsiaTheme="minorEastAsia" w:cstheme="minorHAnsi"/>
          <w:color w:val="000000" w:themeColor="text1"/>
          <w:kern w:val="24"/>
          <w:lang w:eastAsia="de-DE"/>
        </w:rPr>
        <w:t xml:space="preserve"> Anschrift sowie die Kontaktdaten des Verbraucherservice der Bundesnetzagentur.</w:t>
      </w:r>
    </w:p>
    <w:p w14:paraId="60EDFA5A" w14:textId="7C894BAA" w:rsidR="00510EFE" w:rsidRPr="0055489A" w:rsidRDefault="0055489A" w:rsidP="0055489A">
      <w:pPr>
        <w:spacing w:after="0" w:line="240" w:lineRule="auto"/>
        <w:rPr>
          <w:rFonts w:eastAsia="Times New Roman" w:cstheme="minorHAnsi"/>
          <w:lang w:eastAsia="de-DE"/>
        </w:rPr>
      </w:pPr>
      <w:r w:rsidRPr="0055489A">
        <w:rPr>
          <w:rFonts w:eastAsiaTheme="minorEastAsia" w:cstheme="minorHAnsi"/>
          <w:color w:val="000000" w:themeColor="text1"/>
          <w:kern w:val="24"/>
          <w:lang w:eastAsia="de-DE"/>
        </w:rPr>
        <w:t>D</w:t>
      </w:r>
      <w:r w:rsidR="007B18DD">
        <w:rPr>
          <w:rFonts w:eastAsiaTheme="minorEastAsia" w:cstheme="minorHAnsi"/>
          <w:color w:val="000000" w:themeColor="text1"/>
          <w:kern w:val="24"/>
          <w:lang w:eastAsia="de-DE"/>
        </w:rPr>
        <w:t>ie AGB und die Datenschutzverordnung ist neben der Vertragsbestätigung wichtigster Bestandteil des Sondervertrages.</w:t>
      </w:r>
      <w:r w:rsidR="00510EFE" w:rsidRPr="0055489A">
        <w:rPr>
          <w:rFonts w:eastAsiaTheme="minorEastAsia" w:cstheme="minorHAnsi"/>
          <w:color w:val="000000" w:themeColor="text1"/>
          <w:kern w:val="24"/>
          <w:lang w:eastAsia="de-DE"/>
        </w:rPr>
        <w:br/>
      </w:r>
    </w:p>
    <w:sectPr w:rsidR="00510EFE" w:rsidRPr="0055489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n-e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B3226"/>
    <w:multiLevelType w:val="hybridMultilevel"/>
    <w:tmpl w:val="2D42B3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80A452D"/>
    <w:multiLevelType w:val="hybridMultilevel"/>
    <w:tmpl w:val="3662A0C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73607B54"/>
    <w:multiLevelType w:val="hybridMultilevel"/>
    <w:tmpl w:val="B4F4A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507790120">
    <w:abstractNumId w:val="2"/>
  </w:num>
  <w:num w:numId="2" w16cid:durableId="836992465">
    <w:abstractNumId w:val="0"/>
  </w:num>
  <w:num w:numId="3" w16cid:durableId="4503210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AAB"/>
    <w:rsid w:val="00000574"/>
    <w:rsid w:val="00020F5C"/>
    <w:rsid w:val="000F5FDD"/>
    <w:rsid w:val="00145199"/>
    <w:rsid w:val="001A4DA4"/>
    <w:rsid w:val="00215F42"/>
    <w:rsid w:val="00260BAA"/>
    <w:rsid w:val="002D4A27"/>
    <w:rsid w:val="00305EBB"/>
    <w:rsid w:val="00312E1E"/>
    <w:rsid w:val="0031304C"/>
    <w:rsid w:val="00336721"/>
    <w:rsid w:val="004060E7"/>
    <w:rsid w:val="00406EEE"/>
    <w:rsid w:val="00436309"/>
    <w:rsid w:val="00510EFE"/>
    <w:rsid w:val="005152ED"/>
    <w:rsid w:val="005170DB"/>
    <w:rsid w:val="0055489A"/>
    <w:rsid w:val="00555AAB"/>
    <w:rsid w:val="00622E52"/>
    <w:rsid w:val="00696DA0"/>
    <w:rsid w:val="007B18DD"/>
    <w:rsid w:val="008661AD"/>
    <w:rsid w:val="008E0900"/>
    <w:rsid w:val="00907ABF"/>
    <w:rsid w:val="00937014"/>
    <w:rsid w:val="00A0484A"/>
    <w:rsid w:val="00AD1AC0"/>
    <w:rsid w:val="00AD516B"/>
    <w:rsid w:val="00C965AF"/>
    <w:rsid w:val="00D32AA1"/>
    <w:rsid w:val="00D3539B"/>
    <w:rsid w:val="00D6484A"/>
    <w:rsid w:val="00D83671"/>
    <w:rsid w:val="00E13AA8"/>
    <w:rsid w:val="00E96667"/>
    <w:rsid w:val="00EB56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54854"/>
  <w15:chartTrackingRefBased/>
  <w15:docId w15:val="{B9015EA9-5245-4779-A999-0130D4584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43630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436309"/>
    <w:rPr>
      <w:color w:val="0000FF"/>
      <w:u w:val="single"/>
    </w:rPr>
  </w:style>
  <w:style w:type="paragraph" w:styleId="Listenabsatz">
    <w:name w:val="List Paragraph"/>
    <w:basedOn w:val="Standard"/>
    <w:uiPriority w:val="34"/>
    <w:qFormat/>
    <w:rsid w:val="001451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079708">
      <w:bodyDiv w:val="1"/>
      <w:marLeft w:val="0"/>
      <w:marRight w:val="0"/>
      <w:marTop w:val="0"/>
      <w:marBottom w:val="0"/>
      <w:divBdr>
        <w:top w:val="none" w:sz="0" w:space="0" w:color="auto"/>
        <w:left w:val="none" w:sz="0" w:space="0" w:color="auto"/>
        <w:bottom w:val="none" w:sz="0" w:space="0" w:color="auto"/>
        <w:right w:val="none" w:sz="0" w:space="0" w:color="auto"/>
      </w:divBdr>
    </w:div>
    <w:div w:id="697897656">
      <w:bodyDiv w:val="1"/>
      <w:marLeft w:val="0"/>
      <w:marRight w:val="0"/>
      <w:marTop w:val="0"/>
      <w:marBottom w:val="0"/>
      <w:divBdr>
        <w:top w:val="none" w:sz="0" w:space="0" w:color="auto"/>
        <w:left w:val="none" w:sz="0" w:space="0" w:color="auto"/>
        <w:bottom w:val="none" w:sz="0" w:space="0" w:color="auto"/>
        <w:right w:val="none" w:sz="0" w:space="0" w:color="auto"/>
      </w:divBdr>
    </w:div>
    <w:div w:id="777289484">
      <w:bodyDiv w:val="1"/>
      <w:marLeft w:val="0"/>
      <w:marRight w:val="0"/>
      <w:marTop w:val="0"/>
      <w:marBottom w:val="0"/>
      <w:divBdr>
        <w:top w:val="none" w:sz="0" w:space="0" w:color="auto"/>
        <w:left w:val="none" w:sz="0" w:space="0" w:color="auto"/>
        <w:bottom w:val="none" w:sz="0" w:space="0" w:color="auto"/>
        <w:right w:val="none" w:sz="0" w:space="0" w:color="auto"/>
      </w:divBdr>
    </w:div>
    <w:div w:id="1499423257">
      <w:bodyDiv w:val="1"/>
      <w:marLeft w:val="0"/>
      <w:marRight w:val="0"/>
      <w:marTop w:val="0"/>
      <w:marBottom w:val="0"/>
      <w:divBdr>
        <w:top w:val="none" w:sz="0" w:space="0" w:color="auto"/>
        <w:left w:val="none" w:sz="0" w:space="0" w:color="auto"/>
        <w:bottom w:val="none" w:sz="0" w:space="0" w:color="auto"/>
        <w:right w:val="none" w:sz="0" w:space="0" w:color="auto"/>
      </w:divBdr>
    </w:div>
    <w:div w:id="1867672265">
      <w:bodyDiv w:val="1"/>
      <w:marLeft w:val="0"/>
      <w:marRight w:val="0"/>
      <w:marTop w:val="0"/>
      <w:marBottom w:val="0"/>
      <w:divBdr>
        <w:top w:val="none" w:sz="0" w:space="0" w:color="auto"/>
        <w:left w:val="none" w:sz="0" w:space="0" w:color="auto"/>
        <w:bottom w:val="none" w:sz="0" w:space="0" w:color="auto"/>
        <w:right w:val="none" w:sz="0" w:space="0" w:color="auto"/>
      </w:divBdr>
    </w:div>
    <w:div w:id="191319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342</Words>
  <Characters>2160</Characters>
  <Application>Microsoft Office Word</Application>
  <DocSecurity>0</DocSecurity>
  <Lines>18</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Bezahlbare Energie</dc:creator>
  <cp:keywords/>
  <dc:description/>
  <cp:lastModifiedBy>Günter Hinrichs</cp:lastModifiedBy>
  <cp:revision>14</cp:revision>
  <dcterms:created xsi:type="dcterms:W3CDTF">2017-04-15T08:35:00Z</dcterms:created>
  <dcterms:modified xsi:type="dcterms:W3CDTF">2022-10-31T16:52:00Z</dcterms:modified>
</cp:coreProperties>
</file>